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H SarabunPSK" w:hAnsi="TH SarabunPSK" w:eastAsia="TH SarabunPSK" w:cs="TH SarabunPSK"/>
          <w:b/>
          <w:sz w:val="32"/>
          <w:szCs w:val="32"/>
        </w:rPr>
      </w:pPr>
      <w:r>
        <w:rPr>
          <w:rFonts w:eastAsia="TH SarabunPSK" w:cs="TH SarabunPSK" w:ascii="TH SarabunPSK" w:hAnsi="TH SarabunPSK"/>
          <w:b/>
          <w:sz w:val="32"/>
          <w:szCs w:val="32"/>
        </w:rPr>
        <w:t xml:space="preserve">PCT </w:t>
      </w:r>
      <w:r>
        <w:rPr>
          <w:rFonts w:ascii="TH SarabunPSK" w:hAnsi="TH SarabunPSK" w:eastAsia="CordiaUPC" w:cs="TH SarabunPSK"/>
          <w:b/>
          <w:b/>
          <w:bCs/>
          <w:sz w:val="32"/>
          <w:szCs w:val="32"/>
        </w:rPr>
        <w:t>จิตเวช</w:t>
      </w:r>
      <w:bookmarkStart w:id="0" w:name="_GoBack"/>
      <w:bookmarkEnd w:id="0"/>
    </w:p>
    <w:p>
      <w:pPr>
        <w:pStyle w:val="Normal"/>
        <w:spacing w:lineRule="auto" w:line="240" w:before="0" w:after="0"/>
        <w:jc w:val="both"/>
        <w:rPr>
          <w:rFonts w:ascii="TH SarabunPSK" w:hAnsi="TH SarabunPSK" w:eastAsia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/>
          <w:bCs/>
          <w:sz w:val="32"/>
          <w:szCs w:val="32"/>
        </w:rPr>
        <w:t>พันธกิจ</w:t>
      </w:r>
      <w:r>
        <w:rPr>
          <w:rFonts w:cs="TH SarabunPSK" w:ascii="TH SarabunPSK" w:hAnsi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/>
          <w:b/>
          <w:b/>
          <w:bCs/>
          <w:sz w:val="32"/>
          <w:szCs w:val="32"/>
        </w:rPr>
        <w:t>ความมุ่งหมาย</w:t>
      </w:r>
      <w:r>
        <w:rPr>
          <w:rFonts w:cs="TH SarabunPSK" w:ascii="TH SarabunPSK" w:hAnsi="TH SarabunPSK"/>
          <w:b/>
          <w:bCs/>
          <w:sz w:val="32"/>
          <w:szCs w:val="32"/>
        </w:rPr>
        <w:t>:</w:t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H SarabunPSK" w:hAnsi="TH SarabunPSK" w:eastAsia="TH SarabunPSK" w:cs="TH SarabunPSK"/>
          <w:b/>
          <w:sz w:val="32"/>
          <w:szCs w:val="32"/>
        </w:rPr>
      </w:pPr>
      <w:r>
        <w:rPr>
          <w:rFonts w:ascii="TH SarabunPSK" w:hAnsi="TH SarabunPSK" w:eastAsia="TH SarabunPSK" w:cs="TH SarabunPSK"/>
          <w:b/>
          <w:b/>
          <w:sz w:val="32"/>
          <w:szCs w:val="32"/>
        </w:rPr>
        <w:t>ทีมนำสหสาขาวิชาชีพที่ให้บริการผู้ป่วยที่มีปัญหาสุขภาพจิต จิตเวช และผู้ติดสารเสพติด ด้วยมาตรฐานสากล อย่างเท่า</w:t>
      </w:r>
      <w:r>
        <w:rPr>
          <w:rFonts w:ascii="TH SarabunPSK" w:hAnsi="TH SarabunPSK" w:eastAsia="CordiaUPC" w:cs="TH SarabunPSK"/>
          <w:sz w:val="32"/>
          <w:szCs w:val="32"/>
        </w:rPr>
        <w:t>เทียมเป็นองค์รวมแบบ</w:t>
      </w:r>
      <w:r>
        <w:rPr>
          <w:rFonts w:ascii="TH SarabunPSK" w:hAnsi="TH SarabunPSK" w:eastAsia="TH SarabunPSK" w:cs="TH SarabunPSK"/>
          <w:sz w:val="32"/>
          <w:szCs w:val="32"/>
        </w:rPr>
        <w:t xml:space="preserve"> </w:t>
      </w:r>
      <w:r>
        <w:rPr>
          <w:rFonts w:eastAsia="TH SarabunPSK" w:cs="TH SarabunPSK" w:ascii="TH SarabunPSK" w:hAnsi="TH SarabunPSK"/>
          <w:sz w:val="32"/>
          <w:szCs w:val="32"/>
        </w:rPr>
        <w:t xml:space="preserve">4 </w:t>
      </w:r>
      <w:r>
        <w:rPr>
          <w:rFonts w:ascii="TH SarabunPSK" w:hAnsi="TH SarabunPSK" w:eastAsia="CordiaUPC" w:cs="TH SarabunPSK"/>
          <w:sz w:val="32"/>
          <w:szCs w:val="32"/>
        </w:rPr>
        <w:t>มิติ</w:t>
      </w:r>
      <w:r>
        <w:rPr>
          <w:rFonts w:ascii="TH SarabunPSK" w:hAnsi="TH SarabunPSK" w:eastAsia="TH SarabunPSK" w:cs="TH SarabunPSK"/>
          <w:b/>
          <w:b/>
          <w:sz w:val="32"/>
          <w:szCs w:val="32"/>
        </w:rPr>
        <w:t xml:space="preserve"> ให้</w:t>
      </w:r>
      <w:r>
        <w:rPr>
          <w:rFonts w:ascii="TH SarabunPSK" w:hAnsi="TH SarabunPSK" w:cs="TH SarabunPSK"/>
          <w:sz w:val="32"/>
          <w:szCs w:val="32"/>
        </w:rPr>
        <w:t xml:space="preserve">บริการทั้งแบบผู้ป่วยนอกและผู้ป่วยใน โดยมีเป้าหมายให้ผู้ป่วยมีความปลอดภัย พึงพอใจ ไม่มีภาวะแทรกซ้อน และส่งเสริมให้ครอบครัว ชุมชน เครือข่ายมีส่วนร่วมในการดูแลผู้ป่วย ให้คำปรึกษาด้านสุขภาพจิต จิตเวชให้กับหน่วยงานอื่นทั้งในและนอกโรงพยาบาล </w:t>
      </w:r>
      <w:r>
        <w:rPr>
          <w:rFonts w:ascii="TH SarabunPSK" w:hAnsi="TH SarabunPSK" w:eastAsia="CordiaUPC" w:cs="TH SarabunPSK"/>
          <w:sz w:val="32"/>
          <w:szCs w:val="32"/>
        </w:rPr>
        <w:t>รวมทั้งเป็นแหล่งศึกษาของนักศึกษาแพทย์ นักศึกษาพยาบาลและบุคลากรสาธารณสุข</w:t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TH SarabunPSK" w:cs="TH SarabunPSK"/>
          <w:b/>
          <w:sz w:val="32"/>
          <w:szCs w:val="32"/>
        </w:rPr>
      </w:pPr>
      <w:r>
        <w:rPr>
          <w:rFonts w:eastAsia="TH SarabunPSK" w:cs="TH SarabunPSK" w:ascii="TH SarabunPSK" w:hAnsi="TH SarabunPSK"/>
          <w:b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TH SarabunPSK" w:cs="TH SarabunPSK"/>
          <w:sz w:val="32"/>
          <w:szCs w:val="32"/>
        </w:rPr>
      </w:pPr>
      <w:r>
        <w:rPr>
          <w:rFonts w:ascii="TH SarabunPSK" w:hAnsi="TH SarabunPSK" w:eastAsia="CordiaUPC" w:cs="TH SarabunPSK"/>
          <w:b/>
          <w:b/>
          <w:bCs/>
          <w:sz w:val="32"/>
          <w:szCs w:val="32"/>
        </w:rPr>
        <w:t>ขอบเขตบริการ</w:t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H SarabunPSK" w:hAnsi="TH SarabunPSK" w:eastAsia="CordiaUPC" w:cs="TH SarabunPSK"/>
          <w:sz w:val="32"/>
          <w:szCs w:val="32"/>
        </w:rPr>
      </w:pPr>
      <w:r>
        <w:rPr>
          <w:rFonts w:ascii="TH SarabunPSK" w:hAnsi="TH SarabunPSK" w:eastAsia="CordiaUPC" w:cs="TH SarabunPSK"/>
          <w:sz w:val="32"/>
          <w:szCs w:val="32"/>
        </w:rPr>
        <w:t>ให้บริการแก่ผู้</w:t>
      </w:r>
      <w:r>
        <w:rPr>
          <w:rFonts w:ascii="TH SarabunPSK" w:hAnsi="TH SarabunPSK" w:cs="TH SarabunPSK"/>
          <w:sz w:val="32"/>
          <w:szCs w:val="32"/>
        </w:rPr>
        <w:t xml:space="preserve">ที่มีปัญหาสุขภาพจิต จิตเวชและสารเสพติดทุกกลุ่มอายุ </w:t>
      </w:r>
      <w:r>
        <w:rPr>
          <w:rFonts w:ascii="TH SarabunPSK" w:hAnsi="TH SarabunPSK" w:eastAsia="CordiaUPC" w:cs="TH SarabunPSK"/>
          <w:sz w:val="32"/>
          <w:szCs w:val="32"/>
        </w:rPr>
        <w:t>ทั้งเพศชายและเพศหญิงในเขตพื้นที่จังหวัดร้อยเอ็ดและจังหวัดใกล้เคียง ให้การบริการทั้ง</w:t>
      </w:r>
      <w:r>
        <w:rPr>
          <w:rFonts w:ascii="TH SarabunPSK" w:hAnsi="TH SarabunPSK" w:cs="TH SarabunPSK"/>
          <w:sz w:val="32"/>
          <w:szCs w:val="32"/>
        </w:rPr>
        <w:t>แบบผู้ป่วยนอก</w:t>
      </w:r>
      <w:r>
        <w:rPr>
          <w:rFonts w:ascii="TH SarabunPSK" w:hAnsi="TH SarabunPSK" w:eastAsia="CordiaUPC" w:cs="TH SarabunPSK"/>
          <w:sz w:val="32"/>
          <w:szCs w:val="32"/>
        </w:rPr>
        <w:t xml:space="preserve"> และผู้ป่วยใน </w:t>
      </w:r>
      <w:r>
        <w:rPr>
          <w:rFonts w:ascii="TH SarabunPSK" w:hAnsi="TH SarabunPSK" w:cs="TH SarabunPSK"/>
          <w:sz w:val="32"/>
          <w:szCs w:val="32"/>
        </w:rPr>
        <w:t>ตั้งแต่การส่งเสริม ป้องกัน รักษา และฟื้นฟูสภาพผู้ที่มีปัญหาสุขภาพจิต จิตเวช และสารเสพติด</w:t>
      </w:r>
      <w:r>
        <w:rPr>
          <w:rFonts w:ascii="TH SarabunPSK" w:hAnsi="TH SarabunPSK" w:eastAsia="CordiaUPC" w:cs="TH SarabunPSK"/>
          <w:sz w:val="32"/>
          <w:szCs w:val="32"/>
        </w:rPr>
        <w:t xml:space="preserve"> ผู้ป่วยในมีจำนวนเตียงผู้ป่วย</w:t>
      </w:r>
      <w:r>
        <w:rPr>
          <w:rFonts w:ascii="TH SarabunPSK" w:hAnsi="TH SarabunPSK" w:eastAsia="TH SarabunPSK" w:cs="TH SarabunPSK"/>
          <w:sz w:val="32"/>
          <w:szCs w:val="32"/>
        </w:rPr>
        <w:t xml:space="preserve"> </w:t>
      </w:r>
      <w:r>
        <w:rPr>
          <w:rFonts w:eastAsia="TH SarabunPSK" w:cs="TH SarabunPSK" w:ascii="TH SarabunPSK" w:hAnsi="TH SarabunPSK"/>
          <w:sz w:val="32"/>
          <w:szCs w:val="32"/>
        </w:rPr>
        <w:t xml:space="preserve">30 </w:t>
      </w:r>
      <w:r>
        <w:rPr>
          <w:rFonts w:ascii="TH SarabunPSK" w:hAnsi="TH SarabunPSK" w:eastAsia="CordiaUPC" w:cs="TH SarabunPSK"/>
          <w:sz w:val="32"/>
          <w:szCs w:val="32"/>
        </w:rPr>
        <w:t>เตียงให้บริการหอผู้ป่วย</w:t>
      </w:r>
      <w:r>
        <w:rPr>
          <w:rFonts w:ascii="TH SarabunPSK" w:hAnsi="TH SarabunPSK" w:eastAsia="TH SarabunPSK" w:cs="TH SarabunPSK"/>
          <w:sz w:val="32"/>
          <w:szCs w:val="32"/>
        </w:rPr>
        <w:t xml:space="preserve"> </w:t>
      </w:r>
      <w:r>
        <w:rPr>
          <w:rFonts w:eastAsia="TH SarabunPSK" w:cs="TH SarabunPSK" w:ascii="TH SarabunPSK" w:hAnsi="TH SarabunPSK"/>
          <w:sz w:val="32"/>
          <w:szCs w:val="32"/>
        </w:rPr>
        <w:t xml:space="preserve">24 </w:t>
      </w:r>
      <w:r>
        <w:rPr>
          <w:rFonts w:ascii="TH SarabunPSK" w:hAnsi="TH SarabunPSK" w:eastAsia="CordiaUPC" w:cs="TH SarabunPSK"/>
          <w:sz w:val="32"/>
          <w:szCs w:val="32"/>
        </w:rPr>
        <w:t xml:space="preserve">ชั่วโมง </w:t>
      </w:r>
      <w:r>
        <w:rPr>
          <w:rFonts w:ascii="TH SarabunPSK" w:hAnsi="TH SarabunPSK" w:cs="TH SarabunPSK"/>
          <w:sz w:val="32"/>
          <w:szCs w:val="32"/>
        </w:rPr>
        <w:t xml:space="preserve">และเป็นแม่ข่าย </w:t>
      </w:r>
      <w:r>
        <w:rPr>
          <w:rFonts w:cs="TH SarabunPSK" w:ascii="TH SarabunPSK" w:hAnsi="TH SarabunPSK"/>
          <w:sz w:val="32"/>
          <w:szCs w:val="32"/>
        </w:rPr>
        <w:t xml:space="preserve">(NODE) </w:t>
      </w:r>
      <w:r>
        <w:rPr>
          <w:rFonts w:ascii="TH SarabunPSK" w:hAnsi="TH SarabunPSK" w:cs="TH SarabunPSK"/>
          <w:sz w:val="32"/>
          <w:szCs w:val="32"/>
        </w:rPr>
        <w:t xml:space="preserve">แก่โรงพยาบาลชุมชน </w:t>
      </w:r>
      <w:r>
        <w:rPr>
          <w:rFonts w:cs="TH SarabunPSK" w:ascii="TH SarabunPSK" w:hAnsi="TH SarabunPSK"/>
          <w:sz w:val="32"/>
          <w:szCs w:val="32"/>
        </w:rPr>
        <w:t xml:space="preserve">4 </w:t>
      </w:r>
      <w:r>
        <w:rPr>
          <w:rFonts w:ascii="TH SarabunPSK" w:hAnsi="TH SarabunPSK" w:cs="TH SarabunPSK"/>
          <w:sz w:val="32"/>
          <w:szCs w:val="32"/>
        </w:rPr>
        <w:t xml:space="preserve">แห่ง </w:t>
      </w:r>
      <w:r>
        <w:rPr>
          <w:rFonts w:ascii="TH SarabunPSK" w:hAnsi="TH SarabunPSK" w:eastAsia="TH SarabunPSK" w:cs="TH SarabunPSK"/>
          <w:sz w:val="32"/>
          <w:szCs w:val="32"/>
        </w:rPr>
        <w:t xml:space="preserve"> </w:t>
      </w:r>
      <w:r>
        <w:rPr>
          <w:rFonts w:ascii="TH SarabunPSK" w:hAnsi="TH SarabunPSK" w:eastAsia="CordiaUPC" w:cs="TH SarabunPSK"/>
          <w:sz w:val="32"/>
          <w:szCs w:val="32"/>
        </w:rPr>
        <w:t>โดยมีทีมสหสาขาวิชาชีพ ได้แก่แพทย์ผู้เชี่ยวชาญเฉพาะทางสาขาจิตเวชทั่วไป</w:t>
      </w:r>
      <w:r>
        <w:rPr>
          <w:rFonts w:ascii="TH SarabunPSK" w:hAnsi="TH SarabunPSK" w:eastAsia="TH SarabunPSK" w:cs="TH SarabunPSK"/>
          <w:sz w:val="32"/>
          <w:szCs w:val="32"/>
        </w:rPr>
        <w:t xml:space="preserve"> </w:t>
      </w:r>
      <w:r>
        <w:rPr>
          <w:rFonts w:eastAsia="TH SarabunPSK" w:cs="TH SarabunPSK" w:ascii="TH SarabunPSK" w:hAnsi="TH SarabunPSK"/>
          <w:sz w:val="32"/>
          <w:szCs w:val="32"/>
        </w:rPr>
        <w:t xml:space="preserve">4 </w:t>
      </w:r>
      <w:r>
        <w:rPr>
          <w:rFonts w:ascii="TH SarabunPSK" w:hAnsi="TH SarabunPSK" w:eastAsia="CordiaUPC" w:cs="TH SarabunPSK"/>
          <w:sz w:val="32"/>
          <w:szCs w:val="32"/>
        </w:rPr>
        <w:t xml:space="preserve">คน จิตแพทย์เด็กและวัยรุ่น </w:t>
      </w:r>
      <w:r>
        <w:rPr>
          <w:rFonts w:eastAsia="CordiaUPC" w:cs="TH SarabunPSK" w:ascii="TH SarabunPSK" w:hAnsi="TH SarabunPSK"/>
          <w:sz w:val="32"/>
          <w:szCs w:val="32"/>
        </w:rPr>
        <w:t xml:space="preserve">2 </w:t>
      </w:r>
      <w:r>
        <w:rPr>
          <w:rFonts w:ascii="TH SarabunPSK" w:hAnsi="TH SarabunPSK" w:eastAsia="CordiaUPC" w:cs="TH SarabunPSK"/>
          <w:sz w:val="32"/>
          <w:szCs w:val="32"/>
        </w:rPr>
        <w:t>คน พยาบาลเฉพาะทางการพยาบาลสุขภาพจิตและจิตเวช</w:t>
      </w:r>
      <w:r>
        <w:rPr>
          <w:rFonts w:eastAsia="CordiaUPC" w:cs="TH SarabunPSK" w:ascii="TH SarabunPSK" w:hAnsi="TH SarabunPSK"/>
          <w:sz w:val="32"/>
          <w:szCs w:val="32"/>
        </w:rPr>
        <w:t>(</w:t>
      </w:r>
      <w:r>
        <w:rPr>
          <w:rFonts w:ascii="TH SarabunPSK" w:hAnsi="TH SarabunPSK" w:eastAsia="CordiaUPC" w:cs="TH SarabunPSK"/>
          <w:sz w:val="32"/>
          <w:szCs w:val="32"/>
        </w:rPr>
        <w:t>ป</w:t>
      </w:r>
      <w:r>
        <w:rPr>
          <w:rFonts w:eastAsia="CordiaUPC" w:cs="TH SarabunPSK" w:ascii="TH SarabunPSK" w:hAnsi="TH SarabunPSK"/>
          <w:sz w:val="32"/>
          <w:szCs w:val="32"/>
        </w:rPr>
        <w:t>.</w:t>
      </w:r>
      <w:r>
        <w:rPr>
          <w:rFonts w:ascii="TH SarabunPSK" w:hAnsi="TH SarabunPSK" w:eastAsia="CordiaUPC" w:cs="TH SarabunPSK"/>
          <w:sz w:val="32"/>
          <w:szCs w:val="32"/>
        </w:rPr>
        <w:t>โท</w:t>
      </w:r>
      <w:r>
        <w:rPr>
          <w:rFonts w:eastAsia="CordiaUPC" w:cs="TH SarabunPSK" w:ascii="TH SarabunPSK" w:hAnsi="TH SarabunPSK"/>
          <w:sz w:val="32"/>
          <w:szCs w:val="32"/>
        </w:rPr>
        <w:t xml:space="preserve">) </w:t>
      </w:r>
      <w:r>
        <w:rPr>
          <w:rFonts w:eastAsia="TH SarabunPSK" w:cs="TH SarabunPSK" w:ascii="TH SarabunPSK" w:hAnsi="TH SarabunPSK"/>
          <w:sz w:val="32"/>
          <w:szCs w:val="32"/>
        </w:rPr>
        <w:t xml:space="preserve">4 </w:t>
      </w:r>
      <w:r>
        <w:rPr>
          <w:rFonts w:ascii="TH SarabunPSK" w:hAnsi="TH SarabunPSK" w:eastAsia="CordiaUPC" w:cs="TH SarabunPSK"/>
          <w:sz w:val="32"/>
          <w:szCs w:val="32"/>
        </w:rPr>
        <w:t>คนพยาบาลจิตเวช</w:t>
      </w:r>
      <w:r>
        <w:rPr>
          <w:rFonts w:ascii="TH SarabunPSK" w:hAnsi="TH SarabunPSK" w:eastAsia="TH SarabunPSK" w:cs="TH SarabunPSK"/>
          <w:sz w:val="32"/>
          <w:szCs w:val="32"/>
        </w:rPr>
        <w:t xml:space="preserve"> </w:t>
      </w:r>
      <w:r>
        <w:rPr>
          <w:rFonts w:ascii="TH SarabunPSK" w:hAnsi="TH SarabunPSK" w:eastAsia="CordiaUPC" w:cs="TH SarabunPSK"/>
          <w:sz w:val="32"/>
          <w:szCs w:val="32"/>
        </w:rPr>
        <w:t xml:space="preserve">พยาบาลเฉพาะทางจิตเวชเด็กและวัยรุ่น </w:t>
      </w:r>
      <w:r>
        <w:rPr>
          <w:rFonts w:eastAsia="CordiaUPC" w:cs="TH SarabunPSK" w:ascii="TH SarabunPSK" w:hAnsi="TH SarabunPSK"/>
          <w:sz w:val="32"/>
          <w:szCs w:val="32"/>
        </w:rPr>
        <w:t>2</w:t>
      </w:r>
      <w:r>
        <w:rPr>
          <w:rFonts w:ascii="TH SarabunPSK" w:hAnsi="TH SarabunPSK" w:eastAsia="CordiaUPC" w:cs="TH SarabunPSK"/>
          <w:sz w:val="32"/>
          <w:szCs w:val="32"/>
        </w:rPr>
        <w:t>คน พยาบาลเฉพาะทางสุขภาพจิและจิตเวช</w:t>
      </w:r>
      <w:r>
        <w:rPr>
          <w:rFonts w:eastAsia="CordiaUPC" w:cs="TH SarabunPSK" w:ascii="TH SarabunPSK" w:hAnsi="TH SarabunPSK"/>
          <w:sz w:val="32"/>
          <w:szCs w:val="32"/>
        </w:rPr>
        <w:t>(PG)</w:t>
      </w:r>
      <w:r>
        <w:rPr>
          <w:rFonts w:eastAsia="TH SarabunPSK" w:cs="TH SarabunPSK" w:ascii="TH SarabunPSK" w:hAnsi="TH SarabunPSK"/>
          <w:sz w:val="32"/>
          <w:szCs w:val="32"/>
        </w:rPr>
        <w:t xml:space="preserve"> 8 </w:t>
      </w:r>
      <w:r>
        <w:rPr>
          <w:rFonts w:ascii="TH SarabunPSK" w:hAnsi="TH SarabunPSK" w:eastAsia="CordiaUPC" w:cs="TH SarabunPSK"/>
          <w:sz w:val="32"/>
          <w:szCs w:val="32"/>
        </w:rPr>
        <w:t>คน นักจิตวิทยา</w:t>
      </w:r>
      <w:r>
        <w:rPr>
          <w:rFonts w:ascii="TH SarabunPSK" w:hAnsi="TH SarabunPSK" w:eastAsia="TH SarabunPSK" w:cs="TH SarabunPSK"/>
          <w:sz w:val="32"/>
          <w:szCs w:val="32"/>
        </w:rPr>
        <w:t xml:space="preserve"> </w:t>
      </w:r>
      <w:r>
        <w:rPr>
          <w:rFonts w:eastAsia="TH SarabunPSK" w:cs="TH SarabunPSK" w:ascii="TH SarabunPSK" w:hAnsi="TH SarabunPSK"/>
          <w:sz w:val="32"/>
          <w:szCs w:val="32"/>
        </w:rPr>
        <w:t xml:space="preserve">3 </w:t>
      </w:r>
      <w:r>
        <w:rPr>
          <w:rFonts w:ascii="TH SarabunPSK" w:hAnsi="TH SarabunPSK" w:eastAsia="CordiaUPC" w:cs="TH SarabunPSK"/>
          <w:sz w:val="32"/>
          <w:szCs w:val="32"/>
        </w:rPr>
        <w:t>คน โดยมีกลุ่มโรคที่สำคัญในปี</w:t>
      </w:r>
      <w:r>
        <w:rPr>
          <w:rFonts w:eastAsia="CordiaUPC" w:cs="TH SarabunPSK" w:ascii="TH SarabunPSK" w:hAnsi="TH SarabunPSK"/>
          <w:sz w:val="32"/>
          <w:szCs w:val="32"/>
        </w:rPr>
        <w:t xml:space="preserve">2569 </w:t>
      </w:r>
      <w:r>
        <w:rPr>
          <w:rFonts w:ascii="TH SarabunPSK" w:hAnsi="TH SarabunPSK" w:eastAsia="CordiaUPC" w:cs="TH SarabunPSK"/>
          <w:sz w:val="32"/>
          <w:szCs w:val="32"/>
        </w:rPr>
        <w:t>ดังนี้</w:t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กลุ่มโรคที่พบบ่อย </w:t>
      </w:r>
      <w:r>
        <w:rPr>
          <w:rFonts w:cs="TH SarabunPSK" w:ascii="TH SarabunPSK" w:hAnsi="TH SarabunPSK"/>
          <w:sz w:val="32"/>
          <w:szCs w:val="32"/>
        </w:rPr>
        <w:t xml:space="preserve">5 </w:t>
      </w:r>
      <w:r>
        <w:rPr>
          <w:rFonts w:ascii="TH SarabunPSK" w:hAnsi="TH SarabunPSK" w:cs="TH SarabunPSK"/>
          <w:sz w:val="32"/>
          <w:szCs w:val="32"/>
        </w:rPr>
        <w:t xml:space="preserve">อันดับแรกของผู้ป่วยนอก คือ </w:t>
      </w:r>
      <w:r>
        <w:rPr>
          <w:rFonts w:eastAsia="CordiaUPC" w:cs="TH SarabunPSK" w:ascii="TH SarabunPSK" w:hAnsi="TH SarabunPSK"/>
          <w:sz w:val="32"/>
          <w:szCs w:val="32"/>
        </w:rPr>
        <w:t xml:space="preserve">โรคจิตเภท (Schizophrenia), โรคจากการใช้สารกระตุ้น/แอมเฟตามีน (Stimulant/Amphetamine use), โรคสมาธิสั้น (ADHD), โรคซึมเศร้า (Depressive disorder) และโรควิตกกังวล (Anxiety disorder) </w:t>
      </w:r>
      <w:r>
        <w:rPr>
          <w:rFonts w:cs="TH SarabunPSK" w:ascii="TH SarabunPSK" w:hAnsi="TH SarabunPSK"/>
          <w:color w:val="333333"/>
          <w:sz w:val="32"/>
          <w:szCs w:val="32"/>
        </w:rPr>
        <w:t xml:space="preserve"/>
      </w:r>
      <w:r>
        <w:rPr>
          <w:rFonts w:ascii="TH SarabunPSK" w:hAnsi="TH SarabunPSK" w:cs="TH SarabunPSK"/>
          <w:color w:val="333333"/>
          <w:sz w:val="32"/>
          <w:szCs w:val="32"/>
        </w:rPr>
        <w:t>ส่วน</w:t>
      </w:r>
      <w:r>
        <w:rPr>
          <w:rFonts w:ascii="TH SarabunPSK" w:hAnsi="TH SarabunPSK" w:cs="TH SarabunPSK"/>
          <w:sz w:val="32"/>
          <w:szCs w:val="32"/>
        </w:rPr>
        <w:t xml:space="preserve">กลุ่มโรคที่พบบ่อย </w:t>
      </w:r>
      <w:r>
        <w:rPr>
          <w:rFonts w:cs="TH SarabunPSK" w:ascii="TH SarabunPSK" w:hAnsi="TH SarabunPSK"/>
          <w:sz w:val="32"/>
          <w:szCs w:val="32"/>
        </w:rPr>
        <w:t xml:space="preserve">5 </w:t>
      </w:r>
      <w:r>
        <w:rPr>
          <w:rFonts w:ascii="TH SarabunPSK" w:hAnsi="TH SarabunPSK" w:cs="TH SarabunPSK"/>
          <w:sz w:val="32"/>
          <w:szCs w:val="32"/>
        </w:rPr>
        <w:t xml:space="preserve">อันดับแรกของผู้ป่วยในคือ </w:t>
      </w:r>
      <w:r>
        <w:rPr>
          <w:rFonts w:cs="TH SarabunPSK" w:ascii="TH SarabunPSK" w:hAnsi="TH SarabunPSK"/>
          <w:color w:val="333333"/>
          <w:sz w:val="32"/>
          <w:szCs w:val="32"/>
        </w:rPr>
        <w:t xml:space="preserve">โรคจิตเภท โดยเฉพาะชนิดหวาดระแวง (Paranoid schizophrenia), โรคจิตจากการใช้สารกระตุ้น/แอมเฟตามีน (Stimulant-induced psychotic disorder), โรคจิตจากการใช้สารหลายชนิด (Multiple psychoactive substances), โรคซึมเศร้า (Depressive disorder) และภาวะ/โรคจิตจากแอลกอฮอล์ (Alcohol-related disorder)</w:t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H SarabunPSK" w:hAnsi="TH SarabunPSK" w:eastAsia="CordiaUPC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ทีมนำทางคลินิกจิตเวชกำกับดูแลให้บริการผู้ป่วย มีการพัฒนาคุณภาพอย่างเป็นระบบและต่อเนื่องตั้งแต่ผู้ป่วยมาถึงโรงพยาบาลจนกระทั่งจำหน่าย รวมถึงการติดตามดูแลต่อเนื่องที่บ้านและในชุมชน ให้ครอบคลุม โดยการค้นหาปัญหาและการวางแผนแก้ไขปัญหาอย่างมีส่วนร่วมของสหสาขาวิชาชีพ</w:t>
      </w:r>
    </w:p>
    <w:p>
      <w:pPr>
        <w:pStyle w:val="Normal"/>
        <w:jc w:val="both"/>
        <w:rPr>
          <w:rFonts w:ascii="TH SarabunPSK" w:hAnsi="TH SarabunPSK" w:eastAsia="CordiaUPC" w:cs="TH SarabunPSK"/>
          <w:color w:val="333333"/>
          <w:sz w:val="32"/>
          <w:szCs w:val="32"/>
        </w:rPr>
      </w:pPr>
      <w:r>
        <w:rPr>
          <w:rFonts w:eastAsia="CordiaUPC" w:cs="TH SarabunPSK" w:ascii="TH SarabunPSK" w:hAnsi="TH SarabunPSK"/>
          <w:color w:val="333333"/>
          <w:sz w:val="32"/>
          <w:szCs w:val="32"/>
        </w:rPr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H SarabunPSK" w:hAnsi="TH SarabunPSK" w:eastAsia="CordiaUPC" w:cs="TH SarabunPSK"/>
          <w:color w:val="333333"/>
          <w:sz w:val="32"/>
          <w:szCs w:val="32"/>
        </w:rPr>
      </w:pPr>
      <w:r>
        <w:rPr>
          <w:rFonts w:eastAsia="CordiaUPC" w:cs="TH SarabunPSK" w:ascii="TH SarabunPSK" w:hAnsi="TH SarabunPSK"/>
          <w:color w:val="333333"/>
          <w:sz w:val="32"/>
          <w:szCs w:val="32"/>
        </w:rPr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H SarabunPSK" w:hAnsi="TH SarabunPSK" w:eastAsia="CordiaUPC" w:cs="TH SarabunPSK"/>
          <w:sz w:val="32"/>
          <w:szCs w:val="32"/>
        </w:rPr>
      </w:pPr>
      <w:r>
        <w:rPr>
          <w:rFonts w:eastAsia="CordiaUPC" w:cs="TH SarabunPSK" w:ascii="TH SarabunPSK" w:hAnsi="TH SarabunPSK"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TH SarabunPSK" w:cs="TH SarabunPSK"/>
          <w:sz w:val="32"/>
          <w:szCs w:val="32"/>
        </w:rPr>
      </w:pPr>
      <w:r>
        <w:rPr>
          <w:rFonts w:eastAsia="TH SarabunPSK" w:cs="TH SarabunPSK" w:ascii="TH SarabunPSK" w:hAnsi="TH SarabunPSK"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TH SarabunPSK" w:cs="TH SarabunPSK"/>
          <w:sz w:val="32"/>
          <w:szCs w:val="32"/>
        </w:rPr>
      </w:pPr>
      <w:r>
        <w:rPr>
          <w:rFonts w:eastAsia="TH SarabunPSK" w:cs="TH SarabunPSK" w:ascii="TH SarabunPSK" w:hAnsi="TH SarabunPSK"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CordiaUPC" w:cs="TH SarabunPSK"/>
          <w:b/>
          <w:bCs/>
          <w:sz w:val="32"/>
          <w:szCs w:val="32"/>
        </w:rPr>
      </w:pPr>
      <w:r>
        <w:rPr>
          <w:rFonts w:eastAsia="CordiaUPC" w:cs="TH SarabunPSK" w:ascii="TH SarabunPSK" w:hAnsi="TH SarabunPSK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TH SarabunPSK" w:cs="TH SarabunPSK"/>
          <w:b/>
          <w:bCs/>
          <w:sz w:val="32"/>
          <w:szCs w:val="32"/>
        </w:rPr>
      </w:pPr>
      <w:r>
        <w:rPr>
          <w:rFonts w:ascii="TH SarabunPSK" w:hAnsi="TH SarabunPSK" w:eastAsia="CordiaUPC" w:cs="TH SarabunPSK"/>
          <w:b/>
          <w:b/>
          <w:bCs/>
          <w:sz w:val="32"/>
          <w:szCs w:val="32"/>
        </w:rPr>
        <w:t>ผู้รับบริการและความต้องการ</w:t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TH SarabunPSK" w:cs="TH SarabunPSK"/>
          <w:b/>
          <w:bCs/>
          <w:sz w:val="32"/>
          <w:szCs w:val="32"/>
        </w:rPr>
      </w:pPr>
      <w:r>
        <w:rPr>
          <w:rFonts w:eastAsia="TH SarabunPSK" w:cs="TH SarabunPSK" w:ascii="TH SarabunPSK" w:hAnsi="TH SarabunPSK"/>
          <w:b/>
          <w:bCs/>
          <w:sz w:val="32"/>
          <w:szCs w:val="32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12"/>
        <w:gridCol w:w="7814"/>
      </w:tblGrid>
      <w:tr>
        <w:trPr>
          <w:tblHeader w:val="true"/>
          <w:cantSplit w:val="true"/>
        </w:trPr>
        <w:tc>
          <w:tcPr>
            <w:tcW w:w="1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SimSun;宋体" w:cs="TH SarabunPSK"/>
                <w:b/>
                <w:b/>
                <w:bCs/>
                <w:sz w:val="32"/>
                <w:szCs w:val="32"/>
              </w:rPr>
              <w:t>ผู้รับบริการ</w:t>
            </w:r>
          </w:p>
        </w:tc>
        <w:tc>
          <w:tcPr>
            <w:tcW w:w="7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SimSun;宋体" w:cs="TH SarabunPSK"/>
                <w:b/>
                <w:b/>
                <w:bCs/>
                <w:sz w:val="32"/>
                <w:szCs w:val="32"/>
              </w:rPr>
              <w:t>ความต้องการ</w:t>
            </w:r>
            <w:r>
              <w:rPr>
                <w:rFonts w:eastAsia="SimSun;宋体" w:cs="TH SarabunPSK" w:ascii="TH SarabunPSK" w:hAnsi="TH SarabunPSK"/>
                <w:b/>
                <w:bCs/>
                <w:sz w:val="32"/>
                <w:szCs w:val="32"/>
              </w:rPr>
              <w:t>(Customer Need)</w:t>
            </w:r>
          </w:p>
        </w:tc>
      </w:tr>
      <w:tr>
        <w:trPr/>
        <w:tc>
          <w:tcPr>
            <w:tcW w:w="1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>1.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ผู้รับมอบผลงานภายในโรงพยาบาล</w:t>
            </w:r>
            <w:r>
              <w:rPr>
                <w:rFonts w:eastAsia="SimSun;宋体" w:cs="TH SarabunPSK" w:ascii="TH SarabunPSK" w:hAnsi="TH SarabunPSK"/>
                <w:sz w:val="32"/>
                <w:szCs w:val="32"/>
              </w:rPr>
              <w:br/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 xml:space="preserve">ที่สำคัญ </w:t>
            </w: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>(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ระบุเป็นกลุ่ม</w:t>
            </w: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>)</w:t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>1.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ผู้รับผลงานภายในโรงพยาบาล</w:t>
            </w:r>
            <w:r>
              <w:rPr>
                <w:rFonts w:eastAsia="SimSun;宋体" w:cs="TH SarabunPSK" w:ascii="TH SarabunPSK" w:hAnsi="TH SarabunPSK"/>
                <w:sz w:val="32"/>
                <w:szCs w:val="32"/>
              </w:rPr>
              <w:br/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 xml:space="preserve">ที่สำคัญ </w:t>
            </w: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>(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ระบุเป็นกลุ่ม</w:t>
            </w: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>)</w:t>
            </w:r>
          </w:p>
          <w:p>
            <w:pPr>
              <w:pStyle w:val="Normal"/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</w:tc>
        <w:tc>
          <w:tcPr>
            <w:tcW w:w="7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numPr>
                <w:ilvl w:val="0"/>
                <w:numId w:val="9"/>
              </w:numPr>
              <w:ind w:hanging="0" w:start="0" w:end="0"/>
              <w:jc w:val="both"/>
              <w:rPr>
                <w:rFonts w:ascii="TH SarabunPSK" w:hAnsi="TH SarabunPSK" w:cs="TH SarabunPSK"/>
                <w:lang w:val="en-US" w:eastAsia="en-US"/>
              </w:rPr>
            </w:pPr>
            <w:r>
              <w:rPr>
                <w:rFonts w:ascii="TH SarabunPSK" w:hAnsi="TH SarabunPSK" w:cs="TH SarabunPSK"/>
                <w:lang w:val="en-US" w:eastAsia="en-US"/>
              </w:rPr>
              <w:t>แพทย์ต้องการให้ปฏิบัติตามแผนการรักษาอย่างครบถ้วน มีการเฝ้าระวังการเปลี่ยนแปลง รายงานปัญหาอย่างถูกต้อง เหมาะสม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จนท</w:t>
            </w:r>
            <w:r>
              <w:rPr>
                <w:rFonts w:cs="TH SarabunPSK" w:ascii="TH SarabunPSK" w:hAnsi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ชันสูตรต้องการให้เก็บ </w:t>
            </w:r>
            <w:r>
              <w:rPr>
                <w:rFonts w:cs="TH SarabunPSK" w:ascii="TH SarabunPSK" w:hAnsi="TH SarabunPSK"/>
                <w:sz w:val="32"/>
                <w:szCs w:val="32"/>
              </w:rPr>
              <w:t xml:space="preserve">Specimen </w:t>
            </w:r>
            <w:r>
              <w:rPr>
                <w:rFonts w:ascii="TH SarabunPSK" w:hAnsi="TH SarabunPSK" w:cs="TH SarabunPSK"/>
                <w:sz w:val="32"/>
                <w:szCs w:val="32"/>
              </w:rPr>
              <w:t>และส่งตรวจอย่างถูกต้อง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เภสัชฯต้องการการ </w:t>
            </w:r>
            <w:r>
              <w:rPr>
                <w:rFonts w:cs="TH SarabunPSK" w:ascii="TH SarabunPSK" w:hAnsi="TH SarabunPSK"/>
                <w:sz w:val="32"/>
                <w:szCs w:val="32"/>
              </w:rPr>
              <w:t>Scan</w:t>
            </w:r>
            <w:r>
              <w:rPr>
                <w:rFonts w:ascii="TH SarabunPSK" w:hAnsi="TH SarabunPSK" w:cs="TH SarabunPSK"/>
                <w:sz w:val="32"/>
                <w:szCs w:val="32"/>
              </w:rPr>
              <w:t>ใบสั่งยาที่ถูกต้อง ชัดเจนลายมือแพทย์ชัดเจนและสามารถตรวจสอบติดตามได้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วิสัญญีต้องการให้เตรียมความพร้อมผู้ป่วยก่อนผ่าตัด</w:t>
            </w:r>
            <w:r>
              <w:rPr>
                <w:rFonts w:cs="TH SarabunPSK" w:ascii="TH SarabunPSK" w:hAnsi="TH SarabunPSK"/>
                <w:sz w:val="32"/>
                <w:szCs w:val="32"/>
              </w:rPr>
              <w:t>/ECT</w:t>
            </w:r>
            <w:r>
              <w:rPr>
                <w:rFonts w:ascii="TH SarabunPSK" w:hAnsi="TH SarabunPSK" w:cs="TH SarabunPSK"/>
                <w:sz w:val="32"/>
                <w:szCs w:val="32"/>
              </w:rPr>
              <w:t>อย่างถูกต้องตามแนวทางปฏิบัติ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จนท</w:t>
            </w:r>
            <w:r>
              <w:rPr>
                <w:rFonts w:cs="TH SarabunPSK" w:ascii="TH SarabunPSK" w:hAnsi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จ่ายกลางต้องการให้นำใบแลกของใช้ พร้อมตรวจรับของให้ถูกต้องและตรงเวลา และมีกล่องแยกเครื่องมือสะอาด และปนเปื้อน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จนท</w:t>
            </w:r>
            <w:r>
              <w:rPr>
                <w:rFonts w:cs="TH SarabunPSK" w:ascii="TH SarabunPSK" w:hAnsi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ซักฟอกต้องการแยกผ้าส่งซักให้ถูกต้องผ้าติดเชื้อและผ้าสะอาด แกะปมผ้าปูที่นอน และแยกขยะ หรืออุปกรณ์ ไม่ให้ติดไปกับผ้า และมีการสำรองผ้าตามจำนวนที่กำหนด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โภชนาการต้องการให้เบิกอาหารตามจำนวนผู้ป่วยก่อนเวลาจ่ายอาหาร </w:t>
            </w:r>
            <w:r>
              <w:rPr>
                <w:rFonts w:cs="TH SarabunPSK" w:ascii="TH SarabunPSK" w:hAnsi="TH SarabunPSK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sz w:val="32"/>
                <w:szCs w:val="32"/>
              </w:rPr>
              <w:t>ชั่วโมง กรณีเบิกไม่ทันให้โทรประสานก่อน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เวชระเบียนต้องการให้แพทย์สรุปเวชระเบียนผู้ป่วยให้ถูกต้องและเรียบร้อยสมบูรณ์ทันเวลา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จนท</w:t>
            </w:r>
            <w:r>
              <w:rPr>
                <w:rFonts w:cs="TH SarabunPSK" w:ascii="TH SarabunPSK" w:hAnsi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รังสีต้องการให้แพทย์เขียนข้อมูลผู้ป่วยเพิ่ม ในกรณีต้องการให้อ่านฟิล์ม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พัสดุ ต้องการให้เบิกของทันเวลา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จนท</w:t>
            </w:r>
            <w:r>
              <w:rPr>
                <w:rFonts w:cs="TH SarabunPSK" w:ascii="TH SarabunPSK" w:hAnsi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ประกันสุขภาพ ต้องการให้ประสานกรณีมีปัญหาเรื่องสิทธ์ และลงรายละเอียดค่าใช้จ่ายให้ถูกต้อง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จนท</w:t>
            </w:r>
            <w:r>
              <w:rPr>
                <w:rFonts w:cs="TH SarabunPSK" w:ascii="TH SarabunPSK" w:hAnsi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ศูนย์</w:t>
            </w:r>
            <w:r>
              <w:rPr>
                <w:rFonts w:cs="TH SarabunPSK" w:ascii="TH SarabunPSK" w:hAnsi="TH SarabunPSK"/>
                <w:sz w:val="32"/>
                <w:szCs w:val="32"/>
              </w:rPr>
              <w:t xml:space="preserve">Refer </w:t>
            </w:r>
            <w:r>
              <w:rPr>
                <w:rFonts w:ascii="TH SarabunPSK" w:hAnsi="TH SarabunPSK" w:cs="TH SarabunPSK"/>
                <w:sz w:val="32"/>
                <w:szCs w:val="32"/>
              </w:rPr>
              <w:t>ต้องการแนวทางการดูแลผู้ป่วยส่งกลับ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จนท</w:t>
            </w:r>
            <w:r>
              <w:rPr>
                <w:rFonts w:cs="TH SarabunPSK" w:ascii="TH SarabunPSK" w:hAnsi="TH SarabunPSK"/>
                <w:sz w:val="32"/>
                <w:szCs w:val="32"/>
              </w:rPr>
              <w:t xml:space="preserve">.HHC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ที่ส่งต่อข้อมูลผู้ป่วยในรายที่จำเป็นต้องดูแลต่อต่อเนื่องที่บ้าน </w:t>
            </w:r>
          </w:p>
          <w:p>
            <w:pPr>
              <w:pStyle w:val="BodyText"/>
              <w:jc w:val="both"/>
              <w:rPr>
                <w:rFonts w:ascii="TH SarabunPSK" w:hAnsi="TH SarabunPSK" w:cs="TH SarabunPSK"/>
                <w:b/>
                <w:bCs/>
                <w:lang w:val="en-US" w:eastAsia="en-US"/>
              </w:rPr>
            </w:pPr>
            <w:r>
              <w:rPr>
                <w:rFonts w:ascii="TH SarabunPSK" w:hAnsi="TH SarabunPSK" w:cs="TH SarabunPSK"/>
                <w:b/>
                <w:b/>
                <w:bCs/>
                <w:lang w:val="en-US" w:eastAsia="en-US"/>
              </w:rPr>
              <w:t>ผู้ป่วย</w:t>
            </w:r>
          </w:p>
          <w:p>
            <w:pPr>
              <w:pStyle w:val="BodyText"/>
              <w:numPr>
                <w:ilvl w:val="0"/>
                <w:numId w:val="6"/>
              </w:numPr>
              <w:ind w:hanging="0" w:start="0" w:end="0"/>
              <w:jc w:val="both"/>
              <w:rPr>
                <w:rFonts w:ascii="TH SarabunPSK" w:hAnsi="TH SarabunPSK" w:cs="TH SarabunPSK"/>
                <w:lang w:val="en-US" w:eastAsia="en-US"/>
              </w:rPr>
            </w:pPr>
            <w:r>
              <w:rPr>
                <w:rFonts w:ascii="TH SarabunPSK" w:hAnsi="TH SarabunPSK" w:cs="TH SarabunPSK"/>
                <w:lang w:val="en-US" w:eastAsia="en-US"/>
              </w:rPr>
              <w:t>หาย หรือทุเลาจากอาการเจ็บป่วยทางจิตและทางกาย ไม่มีภาวะแทรกซ้อนต่างๆ  สามารถดำเนินชีวิตในสังคมได้อย่างปกติสุข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ได้รับข้อมูลเกี่ยวกับโรคที่เป็นอยู่ แนวทางรักษาพยาบาลการปฏิบัติตัว และการพยากรณ์โรค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ได้รับการเตรียมความพร้อมในการดูแลตนเองต่อเนื่องที่บ้าน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ได้รับบริการโดยทีมงานที่มีความรู้ความสามารถ ได้รับความสะดวกรวดเร็ว เป็นกันเอง และเสมอภาค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/>
                <w:bCs/>
                <w:sz w:val="32"/>
                <w:szCs w:val="32"/>
              </w:rPr>
              <w:t>ญาติ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ได้รับข้อมูลเกี่ยวกับโรคที่เป็นอยู่แผนการรักษาพยาบาลการพยากรณ์โรค และการดูแลผู้ป่วย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ต้องการให้เจ้าหน้าที่ดูแลผู้ป่วยด้วยความใส่ใจ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/>
                <w:bCs/>
                <w:sz w:val="32"/>
                <w:szCs w:val="32"/>
              </w:rPr>
              <w:t>สถานพยาบาลปฐมภูมิ และทุติยภูมิ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แนวทางปฏิบัติในการรักษาพยาบาลโรคทางจิตเวชเบื้องต้น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รับการส่งต่อผู้ป่วย เพื่อการรักษาอย่างต่อเนื่อง และตอบกลับข้อมูล</w:t>
            </w:r>
          </w:p>
          <w:p>
            <w:pPr>
              <w:pStyle w:val="Normal"/>
              <w:spacing w:lineRule="auto" w:line="240" w:before="0" w:after="0"/>
              <w:ind w:start="36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สถาบันการศึกษา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cs="TH SarabunPSK" w:ascii="TH SarabunPSK" w:hAnsi="TH SarabunPSK"/>
                <w:sz w:val="32"/>
                <w:szCs w:val="32"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>ได้รับการสนับสนุนวิชาการ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cs="TH SarabunPSK" w:ascii="TH SarabunPSK" w:hAnsi="TH SarabunPSK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นักศึกษามีความปลอดภัยมีบ้านพัก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H SarabunPSK" w:ascii="TH SarabunPSK" w:hAnsi="TH SarabunPSK"/>
                <w:sz w:val="32"/>
                <w:szCs w:val="32"/>
              </w:rPr>
              <w:t>3.</w:t>
            </w:r>
            <w:r>
              <w:rPr>
                <w:rFonts w:ascii="TH SarabunPSK" w:hAnsi="TH SarabunPSK" w:cs="TH SarabunPSK"/>
                <w:sz w:val="32"/>
                <w:szCs w:val="32"/>
              </w:rPr>
              <w:t>อาจารย์พี่เลี้ยงดูแล เอาใจใส่นักศึกษาตามความเหมาะสม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cs="TH SarabunPSK" w:ascii="TH SarabunPSK" w:hAnsi="TH SarabunPSK"/>
                <w:sz w:val="32"/>
                <w:szCs w:val="32"/>
              </w:rPr>
            </w:r>
          </w:p>
        </w:tc>
      </w:tr>
      <w:tr>
        <w:trPr>
          <w:trHeight w:val="6147" w:hRule="atLeast"/>
        </w:trPr>
        <w:tc>
          <w:tcPr>
            <w:tcW w:w="1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>1.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 xml:space="preserve">ผู้รับผลงานภายนอกโรงพยาบาลที่สำคัญ </w:t>
            </w: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>(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ระบุเป็นกลุ่ม</w:t>
            </w: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>)</w:t>
            </w:r>
          </w:p>
          <w:p>
            <w:pPr>
              <w:pStyle w:val="Heading8"/>
              <w:ind w:hanging="0" w:start="0"/>
              <w:jc w:val="both"/>
              <w:rPr>
                <w:rFonts w:ascii="TH SarabunPSK" w:hAnsi="TH SarabunPSK" w:eastAsia="SimSun;宋体" w:cs="TH SarabunPSK"/>
                <w:sz w:val="32"/>
                <w:szCs w:val="32"/>
                <w:u w:val="none"/>
                <w:lang w:val="en-US" w:eastAsia="en-US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  <w:u w:val="none"/>
                <w:lang w:val="en-US" w:eastAsia="en-US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  <w:u w:val="none"/>
                <w:lang w:val="en-US" w:eastAsia="en-US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  <w:u w:val="none"/>
                <w:lang w:val="en-US" w:eastAsia="en-US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  <w:p>
            <w:pPr>
              <w:pStyle w:val="Heading8"/>
              <w:ind w:hanging="0" w:start="0"/>
              <w:jc w:val="both"/>
              <w:rPr>
                <w:rFonts w:ascii="TH SarabunPSK" w:hAnsi="TH SarabunPSK" w:eastAsia="SimSun;宋体" w:cs="TH SarabunPSK"/>
                <w:sz w:val="32"/>
                <w:szCs w:val="32"/>
                <w:u w:val="none"/>
                <w:lang w:val="en-US" w:eastAsia="en-US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  <w:u w:val="none"/>
                <w:lang w:val="en-US" w:eastAsia="en-US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  <w:u w:val="none"/>
                <w:lang w:val="en-US" w:eastAsia="en-US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  <w:u w:val="none"/>
                <w:lang w:val="en-US" w:eastAsia="en-US"/>
              </w:rPr>
            </w:r>
          </w:p>
        </w:tc>
        <w:tc>
          <w:tcPr>
            <w:tcW w:w="7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both"/>
              <w:rPr>
                <w:rFonts w:ascii="TH SarabunPSK" w:hAnsi="TH SarabunPSK" w:cs="TH SarabunPSK"/>
                <w:b/>
                <w:bCs/>
                <w:lang w:val="en-US" w:eastAsia="en-US"/>
              </w:rPr>
            </w:pPr>
            <w:r>
              <w:rPr>
                <w:rFonts w:ascii="TH SarabunPSK" w:hAnsi="TH SarabunPSK" w:cs="TH SarabunPSK"/>
                <w:b/>
                <w:b/>
                <w:bCs/>
                <w:lang w:val="en-US" w:eastAsia="en-US"/>
              </w:rPr>
              <w:t>ผู้ป่วย</w:t>
            </w:r>
          </w:p>
          <w:p>
            <w:pPr>
              <w:pStyle w:val="BodyText"/>
              <w:numPr>
                <w:ilvl w:val="0"/>
                <w:numId w:val="6"/>
              </w:numPr>
              <w:ind w:hanging="0" w:start="0" w:end="0"/>
              <w:jc w:val="both"/>
              <w:rPr>
                <w:rFonts w:ascii="TH SarabunPSK" w:hAnsi="TH SarabunPSK" w:cs="TH SarabunPSK"/>
                <w:lang w:val="en-US" w:eastAsia="en-US"/>
              </w:rPr>
            </w:pPr>
            <w:r>
              <w:rPr>
                <w:rFonts w:ascii="TH SarabunPSK" w:hAnsi="TH SarabunPSK" w:cs="TH SarabunPSK"/>
                <w:lang w:val="en-US" w:eastAsia="en-US"/>
              </w:rPr>
              <w:t>หาย หรือทุเลาจากอาการเจ็บป่วยทางจิตและทางกาย ไม่มีภาวะแทรกซ้อนต่างๆ  สามารถดำเนินชีวิตในสังคมได้อย่างปกติสุข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ได้รับข้อมูลเกี่ยวกับโรคที่เป็นอยู่ แนวทางรักษาพยาบาลการปฏิบัติตัว และการพยากรณ์โรค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ได้รับการเตรียมความพร้อมในการดูแลตนเองต่อเนื่องที่บ้าน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ได้รับบริการโดยทีมงานที่มีความรู้ความสามารถ ได้รับความสะดวกรวดเร็ว เป็นกันเอง และเสมอภาค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/>
                <w:bCs/>
                <w:sz w:val="32"/>
                <w:szCs w:val="32"/>
              </w:rPr>
              <w:t>ญาติ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ได้รับข้อมูลเกี่ยวกับโรคที่เป็นอยู่แผนการรักษาพยาบาลการพยากรณ์โรค และการดูแลผู้ป่วย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 w:end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ต้องการให้เจ้าหน้าที่ดูแลผู้ป่วยด้วยความใส่ใจ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/>
                <w:bCs/>
                <w:sz w:val="32"/>
                <w:szCs w:val="32"/>
              </w:rPr>
              <w:t>สถานพยาบาลปฐมภูมิ และทุติยภูมิ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แนวทางปฏิบัติในการรักษาพยาบาลโรคทางจิตเวชเบื้องต้น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รับการส่งต่อผู้ป่วย เพื่อการรักษาอย่างต่อเนื่อง และตอบกลับข้อมูล</w:t>
            </w:r>
          </w:p>
          <w:p>
            <w:pPr>
              <w:pStyle w:val="Normal"/>
              <w:spacing w:lineRule="auto" w:line="240" w:before="0" w:after="0"/>
              <w:ind w:start="360" w:end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สถาบันการศึกษา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cs="TH SarabunPSK" w:ascii="TH SarabunPSK" w:hAnsi="TH SarabunPSK"/>
                <w:sz w:val="32"/>
                <w:szCs w:val="32"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>ได้รับการสนับสนุนวิชาการ และอาจารย์พี่เลี้ยงดูแลเอาใจใส่ตามคามเหมาะสม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H SarabunPSK" w:ascii="TH SarabunPSK" w:hAnsi="TH SarabunPSK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นักศึกษามีความปลอดภัยมีบ้านพัก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cs="TH SarabunPSK" w:ascii="TH SarabunPSK" w:hAnsi="TH SarabunPSK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CordiaUPC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/>
          <w:bCs/>
          <w:sz w:val="32"/>
          <w:szCs w:val="32"/>
        </w:rPr>
        <w:t>จุดเน้นของการจัดบริการและการพัฒนา</w:t>
      </w:r>
      <w:r>
        <w:rPr>
          <w:rFonts w:cs="TH SarabunPSK" w:ascii="TH SarabunPSK" w:hAnsi="TH SarabunPSK"/>
          <w:b/>
          <w:bCs/>
          <w:sz w:val="32"/>
          <w:szCs w:val="32"/>
        </w:rPr>
        <w:t>: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H SarabunPSK" w:hAnsi="TH SarabunPSK" w:eastAsia="CordiaUPC" w:cs="TH SarabunPSK"/>
          <w:sz w:val="32"/>
          <w:szCs w:val="32"/>
        </w:rPr>
      </w:pPr>
      <w:r>
        <w:rPr>
          <w:rFonts w:ascii="TH SarabunPSK" w:hAnsi="TH SarabunPSK" w:eastAsia="CordiaUPC" w:cs="TH SarabunPSK"/>
          <w:sz w:val="32"/>
          <w:szCs w:val="32"/>
        </w:rPr>
        <w:t>พัฒนาคุณภาพการดูแลผู้ป่วยจิตเวชเด็กและวัยรุ่น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H SarabunPSK" w:hAnsi="TH SarabunPSK" w:eastAsia="CordiaUPC" w:cs="TH SarabunPSK"/>
          <w:sz w:val="32"/>
          <w:szCs w:val="32"/>
        </w:rPr>
      </w:pPr>
      <w:r>
        <w:rPr>
          <w:rFonts w:ascii="TH SarabunPSK" w:hAnsi="TH SarabunPSK" w:eastAsia="CordiaUPC" w:cs="TH SarabunPSK"/>
          <w:sz w:val="32"/>
          <w:szCs w:val="32"/>
        </w:rPr>
        <w:t xml:space="preserve">พัฒนารูปแบบการติดตาม เฝ้าระวังผู้ป่วย </w:t>
      </w:r>
      <w:r>
        <w:rPr>
          <w:rFonts w:eastAsia="CordiaUPC" w:cs="TH SarabunPSK" w:ascii="TH SarabunPSK" w:hAnsi="TH SarabunPSK"/>
          <w:sz w:val="32"/>
          <w:szCs w:val="32"/>
        </w:rPr>
        <w:t xml:space="preserve">SMI-V </w:t>
      </w:r>
      <w:r>
        <w:rPr>
          <w:rFonts w:ascii="TH SarabunPSK" w:hAnsi="TH SarabunPSK" w:eastAsia="CordiaUPC" w:cs="TH SarabunPSK"/>
          <w:sz w:val="32"/>
          <w:szCs w:val="32"/>
        </w:rPr>
        <w:t>ในชุมชน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H SarabunPSK" w:hAnsi="TH SarabunPSK" w:eastAsia="CordiaUPC" w:cs="TH SarabunPSK"/>
          <w:sz w:val="32"/>
          <w:szCs w:val="32"/>
        </w:rPr>
      </w:pPr>
      <w:r>
        <w:rPr>
          <w:rFonts w:ascii="TH SarabunPSK" w:hAnsi="TH SarabunPSK" w:eastAsia="CordiaUPC" w:cs="TH SarabunPSK"/>
          <w:sz w:val="32"/>
          <w:szCs w:val="32"/>
        </w:rPr>
        <w:t>พัฒนาศักยภาพเครือข่ายในส่วนที่ขาด</w:t>
      </w:r>
    </w:p>
    <w:p>
      <w:pPr>
        <w:pStyle w:val="Normal"/>
        <w:spacing w:lineRule="auto" w:line="240" w:before="0" w:after="0"/>
        <w:ind w:start="636" w:end="0"/>
        <w:jc w:val="both"/>
        <w:rPr>
          <w:rFonts w:ascii="TH SarabunPSK" w:hAnsi="TH SarabunPSK" w:eastAsia="CordiaUPC" w:cs="TH SarabunPSK"/>
          <w:sz w:val="32"/>
          <w:szCs w:val="32"/>
        </w:rPr>
      </w:pPr>
      <w:r>
        <w:rPr>
          <w:rFonts w:eastAsia="CordiaUPC" w:cs="TH SarabunPSK" w:ascii="TH SarabunPSK" w:hAnsi="TH SarabunPSK"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CordiaUPC" w:cs="TH SarabunPSK"/>
          <w:b/>
          <w:bCs/>
          <w:sz w:val="32"/>
          <w:szCs w:val="32"/>
        </w:rPr>
      </w:pPr>
      <w:r>
        <w:rPr>
          <w:rFonts w:ascii="TH SarabunPSK" w:hAnsi="TH SarabunPSK" w:eastAsia="CordiaUPC" w:cs="TH SarabunPSK"/>
          <w:b/>
          <w:b/>
          <w:bCs/>
          <w:sz w:val="32"/>
          <w:szCs w:val="32"/>
        </w:rPr>
        <w:t>กลุ่มผู้ป่วยที่สำคัญ</w:t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093"/>
        <w:gridCol w:w="1276"/>
        <w:gridCol w:w="1417"/>
        <w:gridCol w:w="1559"/>
        <w:gridCol w:w="1985"/>
        <w:gridCol w:w="1559"/>
      </w:tblGrid>
      <w:tr>
        <w:trPr/>
        <w:tc>
          <w:tcPr>
            <w:tcW w:w="2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000000"/>
                <w:sz w:val="32"/>
                <w:szCs w:val="32"/>
              </w:rPr>
              <w:t xml:space="preserve">โรค </w:t>
            </w:r>
          </w:p>
          <w:tbl>
            <w:tblPr>
              <w:tblW w:w="973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973"/>
            </w:tblGrid>
            <w:tr>
              <w:trPr>
                <w:trHeight w:val="340" w:hRule="atLeast"/>
              </w:trPr>
              <w:tc>
                <w:tcPr>
                  <w:tcW w:w="973" w:type="dxa"/>
                  <w:tcBorders/>
                </w:tcPr>
                <w:p>
                  <w:pPr>
                    <w:pStyle w:val="Normal"/>
                    <w:autoSpaceDE w:val="false"/>
                    <w:spacing w:lineRule="auto" w:line="240" w:before="0" w:after="0"/>
                    <w:jc w:val="both"/>
                    <w:rPr>
                      <w:rFonts w:ascii="TH SarabunPSK" w:hAnsi="TH SarabunPSK" w:eastAsia="Calibri" w:cs="TH SarabunPSK"/>
                      <w:color w:val="000000"/>
                      <w:sz w:val="32"/>
                      <w:szCs w:val="32"/>
                    </w:rPr>
                  </w:pPr>
                  <w:r>
                    <w:rPr>
                      <w:rFonts w:eastAsia="Calibri" w:cs="TH SarabunPSK" w:ascii="TH SarabunPSK" w:hAnsi="TH SarabunPSK"/>
                      <w:b/>
                      <w:bCs/>
                      <w:color w:val="000000"/>
                      <w:sz w:val="32"/>
                      <w:szCs w:val="32"/>
                    </w:rPr>
                    <w:t xml:space="preserve">Disease 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มีความเสี่ยงสูง</w:t>
            </w:r>
            <w:r>
              <w:rPr>
                <w:rFonts w:eastAsia="Times New Roman"/>
                <w:b/>
                <w:bCs/>
                <w:sz w:val="32"/>
                <w:szCs w:val="32"/>
              </w:rPr>
              <w:t xml:space="preserve">High risk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มีค่าใช้จ่ายสูง</w:t>
            </w:r>
            <w:r>
              <w:rPr>
                <w:rFonts w:eastAsia="Times New Roman"/>
                <w:b/>
                <w:bCs/>
                <w:sz w:val="32"/>
                <w:szCs w:val="32"/>
              </w:rPr>
              <w:t>/</w:t>
            </w: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นอนโรงพยาบาลนาน</w:t>
            </w:r>
            <w:r>
              <w:rPr>
                <w:rFonts w:eastAsia="Times New Roman"/>
                <w:b/>
                <w:bCs/>
                <w:sz w:val="32"/>
                <w:szCs w:val="32"/>
              </w:rPr>
              <w:t xml:space="preserve">High cost/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 xml:space="preserve">Long LOS 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 xml:space="preserve">มีปริมาณผู้ป่วยมาก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 xml:space="preserve">High volume 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 xml:space="preserve">มีหลักฐานใหม่หรือเทคโนโลยีใหม่ที่นามาใช้ในการดูแลผู้ป่วย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 xml:space="preserve">New evidence/ technology 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 xml:space="preserve">การดูแลมีความซับซ้อน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 xml:space="preserve">Complex Care 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H SarabunPSK" w:hAnsi="TH SarabunPSK" w:cs="TH SarabunPSK"/>
                <w:color w:val="333333"/>
                <w:sz w:val="32"/>
                <w:szCs w:val="32"/>
              </w:rPr>
            </w:pPr>
            <w:r>
              <w:rPr>
                <w:rFonts w:cs="TH SarabunPSK" w:ascii="TH SarabunPSK" w:hAnsi="TH SarabunPSK"/>
                <w:color w:val="333333"/>
                <w:sz w:val="32"/>
                <w:szCs w:val="32"/>
              </w:rPr>
              <w:t xml:space="preserve">schizophrenia 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4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TH SarabunPSK" w:ascii="TH SarabunPSK" w:hAnsi="TH SarabunPSK"/>
                <w:color w:val="333333"/>
                <w:sz w:val="32"/>
                <w:szCs w:val="32"/>
              </w:rPr>
              <w:t>Caffeine psychotic disorder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3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H SarabunPSK" w:hAnsi="TH SarabunPSK" w:cs="TH SarabunPSK"/>
                <w:color w:val="333333"/>
                <w:sz w:val="32"/>
                <w:szCs w:val="32"/>
              </w:rPr>
            </w:pPr>
            <w:r>
              <w:rPr>
                <w:rFonts w:cs="TH SarabunPSK" w:ascii="TH SarabunPSK" w:hAnsi="TH SarabunPSK"/>
                <w:color w:val="333333"/>
                <w:sz w:val="32"/>
                <w:szCs w:val="32"/>
              </w:rPr>
              <w:t xml:space="preserve">Paranoid schizophrenia 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4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H SarabunPSK" w:hAnsi="TH SarabunPSK" w:cs="TH SarabunPSK"/>
                <w:color w:val="333333"/>
                <w:sz w:val="32"/>
                <w:szCs w:val="32"/>
              </w:rPr>
            </w:pPr>
            <w:r>
              <w:rPr>
                <w:rFonts w:cs="TH SarabunPSK" w:ascii="TH SarabunPSK" w:hAnsi="TH SarabunPSK"/>
                <w:color w:val="333333"/>
                <w:sz w:val="32"/>
                <w:szCs w:val="32"/>
              </w:rPr>
              <w:t>Other psychoactive psychotic disorder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4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H SarabunPSK" w:hAnsi="TH SarabunPSK" w:cs="TH SarabunPSK"/>
                <w:color w:val="333333"/>
                <w:sz w:val="32"/>
                <w:szCs w:val="32"/>
              </w:rPr>
            </w:pPr>
            <w:r>
              <w:rPr>
                <w:rFonts w:cs="TH SarabunPSK" w:ascii="TH SarabunPSK" w:hAnsi="TH SarabunPSK"/>
                <w:color w:val="333333"/>
                <w:sz w:val="32"/>
                <w:szCs w:val="32"/>
              </w:rPr>
              <w:t>Alcohol psychotic disorder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3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H SarabunPSK" w:hAnsi="TH SarabunPSK" w:cs="TH SarabunPSK"/>
                <w:color w:val="333333"/>
                <w:sz w:val="32"/>
                <w:szCs w:val="32"/>
              </w:rPr>
            </w:pPr>
            <w:r>
              <w:rPr>
                <w:rFonts w:cs="TH SarabunPSK" w:ascii="TH SarabunPSK" w:hAnsi="TH SarabunPSK"/>
                <w:color w:val="333333"/>
                <w:sz w:val="32"/>
                <w:szCs w:val="32"/>
              </w:rPr>
              <w:t>Alcohol withdrawal state with dilirium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bCs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bCs/>
                <w:sz w:val="32"/>
                <w:szCs w:val="32"/>
              </w:rPr>
              <w:t>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H SarabunPSK" w:hAnsi="TH SarabunPSK" w:eastAsia="CordiaUPC" w:cs="TH SarabunPSK"/>
          <w:b/>
          <w:bCs/>
          <w:sz w:val="32"/>
          <w:szCs w:val="32"/>
        </w:rPr>
      </w:pPr>
      <w:r>
        <w:rPr>
          <w:rFonts w:eastAsia="CordiaUPC" w:cs="TH SarabunPSK" w:ascii="TH SarabunPSK" w:hAnsi="TH SarabunPSK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CordiaUPC" w:cs="TH SarabunPSK"/>
          <w:b/>
          <w:bCs/>
          <w:sz w:val="32"/>
          <w:szCs w:val="32"/>
        </w:rPr>
      </w:pPr>
      <w:r>
        <w:rPr>
          <w:rFonts w:eastAsia="CordiaUPC" w:cs="TH SarabunPSK" w:ascii="TH SarabunPSK" w:hAnsi="TH SarabunPSK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CordiaUPC" w:cs="TH SarabunPSK"/>
          <w:b/>
          <w:bCs/>
          <w:sz w:val="32"/>
          <w:szCs w:val="32"/>
        </w:rPr>
      </w:pPr>
      <w:r>
        <w:rPr>
          <w:rFonts w:eastAsia="CordiaUPC" w:cs="TH SarabunPSK" w:ascii="TH SarabunPSK" w:hAnsi="TH SarabunPSK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CordiaUPC" w:cs="TH SarabunPSK"/>
          <w:b/>
          <w:bCs/>
          <w:sz w:val="32"/>
          <w:szCs w:val="32"/>
        </w:rPr>
      </w:pPr>
      <w:r>
        <w:rPr>
          <w:rFonts w:eastAsia="CordiaUPC" w:cs="TH SarabunPSK" w:ascii="TH SarabunPSK" w:hAnsi="TH SarabunPSK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CordiaUPC" w:cs="TH SarabunPSK"/>
          <w:b/>
          <w:sz w:val="32"/>
          <w:szCs w:val="32"/>
        </w:rPr>
      </w:pPr>
      <w:r>
        <w:rPr>
          <w:rFonts w:ascii="TH SarabunPSK" w:hAnsi="TH SarabunPSK" w:cs="TH SarabunPSK"/>
          <w:b/>
          <w:b/>
          <w:bCs/>
          <w:sz w:val="32"/>
          <w:szCs w:val="32"/>
        </w:rPr>
        <w:t>ตัวชี้วัดของกลุ่มโรคสำคัญจำแนกตามมิติคุณภาพ</w:t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CordiaUPC" w:cs="TH SarabunPSK"/>
          <w:b/>
          <w:sz w:val="32"/>
          <w:szCs w:val="32"/>
        </w:rPr>
      </w:pPr>
      <w:r>
        <w:rPr>
          <w:rFonts w:eastAsia="CordiaUPC" w:cs="TH SarabunPSK" w:ascii="TH SarabunPSK" w:hAnsi="TH SarabunPSK"/>
          <w:b/>
          <w:sz w:val="32"/>
          <w:szCs w:val="32"/>
        </w:rPr>
      </w:r>
    </w:p>
    <w:tbl>
      <w:tblPr>
        <w:tblW w:w="10491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77"/>
        <w:gridCol w:w="1276"/>
        <w:gridCol w:w="1275"/>
        <w:gridCol w:w="1418"/>
        <w:gridCol w:w="1134"/>
        <w:gridCol w:w="850"/>
        <w:gridCol w:w="993"/>
        <w:gridCol w:w="1134"/>
        <w:gridCol w:w="1134"/>
      </w:tblGrid>
      <w:tr>
        <w:trPr>
          <w:tblHeader w:val="true"/>
        </w:trPr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 xml:space="preserve">โรค </w:t>
            </w: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Disease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การเข้าถึงและเข้ารับบริการ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>Access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b/>
                <w:bCs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การดูแลต่อ</w:t>
            </w:r>
          </w:p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เนื่อง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>Continuity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b/>
                <w:bCs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ความ</w:t>
            </w:r>
          </w:p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เหมาะสม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>Appropriate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ประสิทธิผล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>Effective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b/>
                <w:bCs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ประสิทธิ</w:t>
            </w:r>
          </w:p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ภาพ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>Efficient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b/>
                <w:bCs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ความปลอด</w:t>
            </w:r>
          </w:p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ภัย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>Safe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การดูแลที่ยึดคนเป็นศูนย์กลาง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>People-centered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การสร้างเสริมสุขภาพ</w:t>
            </w:r>
            <w:r>
              <w:rPr>
                <w:rFonts w:eastAsia="Times New Roman"/>
                <w:b/>
                <w:bCs/>
                <w:sz w:val="32"/>
                <w:szCs w:val="32"/>
              </w:rPr>
              <w:t>Health Promotion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</w:tr>
      <w:tr>
        <w:trPr/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color w:val="333333"/>
                <w:sz w:val="32"/>
                <w:szCs w:val="32"/>
              </w:rPr>
              <w:t>schizophrenia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ร้อยละของผู้ป่วยโรคจิตเภทเข้าถึง บริการตามมาตรฐาน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tbl>
            <w:tblPr>
              <w:tblW w:w="1124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124"/>
            </w:tblGrid>
            <w:tr>
              <w:trPr>
                <w:trHeight w:val="199" w:hRule="atLeast"/>
              </w:trPr>
              <w:tc>
                <w:tcPr>
                  <w:tcW w:w="1124" w:type="dxa"/>
                  <w:tcBorders/>
                </w:tcPr>
                <w:p>
                  <w:pPr>
                    <w:pStyle w:val="Normal"/>
                    <w:autoSpaceDE w:val="false"/>
                    <w:spacing w:lineRule="auto" w:line="240" w:before="0" w:after="0"/>
                    <w:jc w:val="both"/>
                    <w:rPr/>
                  </w:pPr>
                  <w:r>
                    <w:rPr>
                      <w:rFonts w:ascii="TH SarabunPSK" w:hAnsi="TH SarabunPSK" w:eastAsia="Calibri" w:cs="TH SarabunPSK"/>
                      <w:color w:val="000000"/>
                      <w:sz w:val="32"/>
                      <w:szCs w:val="32"/>
                    </w:rPr>
                    <w:t xml:space="preserve">ผู้ป่วยที่ได้รับยาจิตเวช 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ผู้ป่วยโรคจิต เภทได้รับการรักษาต่อเนื่องภายใน </w:t>
            </w:r>
            <w:r>
              <w:rPr>
                <w:rFonts w:cs="TH SarabunPSK" w:ascii="TH SarabunPSK" w:hAnsi="TH SarabunPSK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/>
                <w:sz w:val="32"/>
                <w:szCs w:val="32"/>
              </w:rPr>
              <w:t>เดือน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ไม่มีพฤติ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กรรมก้าว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ร้าวรุนแรง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</w:tr>
      <w:tr>
        <w:trPr/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color w:val="333333"/>
                <w:sz w:val="32"/>
                <w:szCs w:val="32"/>
              </w:rPr>
              <w:t>Caffeine psychotic disorder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ร้อยละของผู้ป่วยยาเสพติดที่เข้าสู่กระบวนการบ บำบัดรักษาได้รับการดูแลอย่างต่อเนื่องจนถึงการติดตาม </w:t>
            </w:r>
            <w:r>
              <w:rPr>
                <w:rFonts w:cs="TH SarabunPSK" w:ascii="TH SarabunPSK" w:hAnsi="TH SarabunPSK"/>
                <w:sz w:val="32"/>
                <w:szCs w:val="32"/>
              </w:rPr>
              <w:t>(Retention Rate)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  <w:t>ผู้ป่วยที่ได้รับยาจิตเวช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</w:tr>
      <w:tr>
        <w:trPr/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color w:val="333333"/>
                <w:sz w:val="32"/>
                <w:szCs w:val="32"/>
              </w:rPr>
              <w:t>Paranoid schizophrenia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  <w:t>ผู้ป่วยที่ได้รับยาจิตเวช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</w:tr>
      <w:tr>
        <w:trPr/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 xml:space="preserve">โรค </w:t>
            </w: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Disease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การเข้าถึงและเข้ารับบริการ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>Access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b/>
                <w:bCs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การดูแลต่อ</w:t>
            </w:r>
          </w:p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เนื่อง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>Continuity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b/>
                <w:bCs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ความ</w:t>
            </w:r>
          </w:p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เหมาะสม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>Appropriate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ประสิทธิผล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>Effective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b/>
                <w:bCs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ประสิทธิ</w:t>
            </w:r>
          </w:p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ภาพ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>Efficient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b/>
                <w:bCs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ความปลอด</w:t>
            </w:r>
          </w:p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ภัย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>Safe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การดูแลที่ยึดคนเป็นศูนย์กลาง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b/>
                <w:bCs/>
                <w:sz w:val="32"/>
                <w:szCs w:val="32"/>
              </w:rPr>
              <w:t>People-centered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การสร้างเสริมสุขภาพ</w:t>
            </w:r>
            <w:r>
              <w:rPr>
                <w:rFonts w:eastAsia="Times New Roman"/>
                <w:b/>
                <w:bCs/>
                <w:sz w:val="32"/>
                <w:szCs w:val="32"/>
              </w:rPr>
              <w:t>Health Promotion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</w:tr>
      <w:tr>
        <w:trPr/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cs="TH SarabunPSK"/>
                <w:color w:val="333333"/>
                <w:sz w:val="32"/>
                <w:szCs w:val="32"/>
              </w:rPr>
            </w:pPr>
            <w:r>
              <w:rPr>
                <w:rFonts w:cs="TH SarabunPSK" w:ascii="TH SarabunPSK" w:hAnsi="TH SarabunPSK"/>
                <w:color w:val="333333"/>
                <w:sz w:val="32"/>
                <w:szCs w:val="32"/>
              </w:rPr>
              <w:t>Alcohol psychotic disorder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color w:val="333333"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color w:val="333333"/>
                <w:sz w:val="32"/>
                <w:szCs w:val="32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</w:tr>
      <w:tr>
        <w:trPr/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cs="TH SarabunPSK" w:ascii="TH SarabunPSK" w:hAnsi="TH SarabunPSK"/>
                <w:color w:val="333333"/>
                <w:sz w:val="32"/>
                <w:szCs w:val="32"/>
              </w:rPr>
              <w:t>Alcohol withdrawal state with dilirium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อัตราการเกิดภาวะแทรกซ้อน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</w:tr>
      <w:tr>
        <w:trPr/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H SarabunPSK" w:hAnsi="TH SarabunPSK" w:eastAsia="CordiaUPC" w:cs="TH SarabunPSK"/>
          <w:b/>
          <w:sz w:val="32"/>
          <w:szCs w:val="32"/>
        </w:rPr>
      </w:pPr>
      <w:r>
        <w:rPr>
          <w:rFonts w:eastAsia="CordiaUPC" w:cs="TH SarabunPSK" w:ascii="TH SarabunPSK" w:hAnsi="TH SarabunPSK"/>
          <w:b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CordiaUPC" w:cs="TH SarabunPSK"/>
          <w:b/>
          <w:sz w:val="32"/>
          <w:szCs w:val="32"/>
        </w:rPr>
      </w:pPr>
      <w:r>
        <w:rPr>
          <w:rFonts w:eastAsia="CordiaUPC" w:cs="TH SarabunPSK" w:ascii="TH SarabunPSK" w:hAnsi="TH SarabunPSK"/>
          <w:b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CordiaUPC" w:cs="TH SarabunPSK"/>
          <w:b/>
          <w:bCs/>
          <w:sz w:val="32"/>
          <w:szCs w:val="32"/>
        </w:rPr>
      </w:pPr>
      <w:r>
        <w:rPr>
          <w:rFonts w:ascii="TH SarabunPSK" w:hAnsi="TH SarabunPSK" w:eastAsia="CordiaUPC" w:cs="TH SarabunPSK"/>
          <w:b/>
          <w:b/>
          <w:bCs/>
          <w:sz w:val="32"/>
          <w:szCs w:val="32"/>
        </w:rPr>
        <w:t>ความเสี่ยงและมาตรการป้องกัน</w:t>
      </w:r>
    </w:p>
    <w:tbl>
      <w:tblPr>
        <w:tblW w:w="924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80"/>
        <w:gridCol w:w="3081"/>
        <w:gridCol w:w="3081"/>
      </w:tblGrid>
      <w:tr>
        <w:trPr/>
        <w:tc>
          <w:tcPr>
            <w:tcW w:w="3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ความเสี่ยง</w:t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มาตรการป้องกัน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โรค</w:t>
            </w:r>
            <w:r>
              <w:rPr>
                <w:rFonts w:eastAsia="Times New Roman"/>
                <w:b/>
                <w:bCs/>
                <w:sz w:val="32"/>
                <w:szCs w:val="32"/>
              </w:rPr>
              <w:t>/</w:t>
            </w:r>
            <w:r>
              <w:rPr>
                <w:rFonts w:eastAsia="Times New Roman"/>
                <w:b/>
                <w:b/>
                <w:bCs/>
                <w:sz w:val="32"/>
                <w:szCs w:val="32"/>
              </w:rPr>
              <w:t>กระบวนการ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</w:tr>
      <w:tr>
        <w:trPr/>
        <w:tc>
          <w:tcPr>
            <w:tcW w:w="3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ผู้ป่วยหลบหนี</w:t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1.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ปรับปรุงแนวทางปฏิบัติในการป้องกันผู้ป่วยหลบหนี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2.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ปรับสถานที่ให้เหมาะสม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3.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ให้ข้อมูลความรู้เจ้าหน้าที่ ที่ เกี่ยวข้อง</w:t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การหลบหนีของผู้ป่วยจิตเวชพบว่า ขาดการเฝ้าระวังขณะเปิดประตูของเจ้าหน้าที่ จึงปรับการเปิดประตู กันผู้ป่วยออกจากประตูระยะห่างเกิน</w:t>
            </w: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2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 xml:space="preserve">เมตร และมอบหมายให้มีเจ้าหน้าที่ </w:t>
            </w: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คน และส่งต่อเวรเพื่อการเฝ้าระวังผู้ป่วยที่เสี่ยงต่อการหลบหนีทุกเวรเป็นลายลักษณ์อักษร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</w:r>
          </w:p>
        </w:tc>
      </w:tr>
      <w:tr>
        <w:trPr/>
        <w:tc>
          <w:tcPr>
            <w:tcW w:w="3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อัตราการตายด้วยโรคร่วม</w:t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1.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 xml:space="preserve">ปรับปรุงการประเมินและวินิจฉัยโรค โดยใช้ </w:t>
            </w: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standing order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2.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 xml:space="preserve">ปรับการ </w:t>
            </w: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 xml:space="preserve">consult 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แพทย์ที่เกี่ยวข้อง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3.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ส่งพยาบาลอบรม ทักษะ ผู้ป่วยวิกฤตอายุรกรรม</w:t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ผู้ป่วยจิตเวชบางคนไม่ได้มาด้วยโรคทางจิตอย่างเดียว แต่มีโรคร่วม โดยที่ซักประวัติจากญาติไม่ได้หรือไม่มีญาติมาให้ประวัติด้วย จึงเป็นความเสี่ยง จึงทบทวน</w:t>
            </w: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12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 xml:space="preserve">กิจกรรมกับแพทย์ที่เกี่ยวข้องต่างแผนก จึงปรับการตรวจวินิจฉัยผู้ป่วยตามเกณฑ์ ใช้เป็น </w:t>
            </w: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 xml:space="preserve">standing order </w:t>
            </w:r>
          </w:p>
        </w:tc>
      </w:tr>
      <w:tr>
        <w:trPr/>
        <w:tc>
          <w:tcPr>
            <w:tcW w:w="3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ผู้ป่วยทำร้ายตนเองและผู้อื่น</w:t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1.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ปรับแนวทางประเมินและการดูแลผู้ป่วยที่มีแนวโน้มมีพฤติกรรมรุนแรง</w:t>
            </w: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(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แยกโซนผู้ป่วยและมีระบบเจ้าของไข้ดูแลผู้ป่วย</w:t>
            </w: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2.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ปรับสิ่งแวดล้อมให้ปลอดภัย</w:t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ผู้ป่วยที่รับ</w:t>
            </w: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admit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มีระดับความรุนแรงของโรคและพฤติกรรมที่แตกต่างกัน แต่ไม่ได้แยกพื้นที่หรือโซน ประกอบกับบริเวณที่ให้บริการผู้ป่วยจำกัด</w:t>
            </w:r>
          </w:p>
        </w:tc>
      </w:tr>
      <w:tr>
        <w:trPr/>
        <w:tc>
          <w:tcPr>
            <w:tcW w:w="3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ภาวะแทรกซ้อนจากภาวะถอนพิษสุรา</w:t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1.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พัฒนาแนวปฏิบัติการพยาบาลเพื่อป้องกันภาวะแทรกซ้อนจากภาวะถอนพิษสุรา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2.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จัดอบรมเชิงปฏิบัติการทั้งจังหวัด</w:t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ภาวะถอนพิษสุราหากไม้ได้รับการจัดการที่เหมาะสม ทันท่วงที ทำให้มีภาวะแทรกซ้อนต่างๆตามมาเช่น</w:t>
            </w: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 xml:space="preserve">delirium 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 xml:space="preserve">หัวใจเต้นผิดปกติ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ordiaUPC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 xml:space="preserve">ปอดอักเสบ บาดเจ็บจากผูกยึด 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H SarabunPSK" w:hAnsi="TH SarabunPSK" w:eastAsia="CordiaUPC" w:cs="TH SarabunPSK"/>
          <w:b/>
          <w:sz w:val="32"/>
          <w:szCs w:val="32"/>
        </w:rPr>
      </w:pPr>
      <w:r>
        <w:rPr>
          <w:rFonts w:ascii="TH SarabunPSK" w:hAnsi="TH SarabunPSK" w:cs="TH SarabunPSK"/>
          <w:b/>
          <w:b/>
          <w:bCs/>
          <w:sz w:val="32"/>
          <w:szCs w:val="32"/>
        </w:rPr>
        <w:t>ผลการดำเนินการสำคัญในภาพรวม</w:t>
      </w:r>
      <w:r>
        <w:rPr>
          <w:rFonts w:cs="TH SarabunPSK" w:ascii="TH SarabunPSK" w:hAnsi="TH SarabunPSK"/>
          <w:b/>
          <w:bCs/>
          <w:sz w:val="32"/>
          <w:szCs w:val="32"/>
        </w:rPr>
        <w:t>: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b/>
          <w:b/>
          <w:bCs/>
          <w:color w:val="000000"/>
          <w:sz w:val="32"/>
          <w:szCs w:val="32"/>
        </w:rPr>
        <w:t xml:space="preserve">การเข้าถึงบริการ </w:t>
      </w:r>
    </w:p>
    <w:p>
      <w:pPr>
        <w:pStyle w:val="Normal"/>
        <w:spacing w:lineRule="auto" w:line="240" w:before="120" w:after="0"/>
        <w:ind w:firstLine="411" w:start="309" w:end="0"/>
        <w:jc w:val="both"/>
        <w:rPr/>
      </w:pPr>
      <w:r>
        <w:rPr>
          <w:rFonts w:eastAsia="Calibri" w:cs="TH SarabunPSK" w:ascii="TH SarabunPSK" w:hAnsi="TH SarabunPSK"/>
          <w:sz w:val="32"/>
          <w:szCs w:val="32"/>
        </w:rPr>
        <w:t>1.</w:t>
      </w:r>
      <w:r>
        <w:rPr>
          <w:rFonts w:ascii="TH SarabunPSK" w:hAnsi="TH SarabunPSK" w:eastAsia="Calibri" w:cs="TH SarabunPSK"/>
          <w:sz w:val="32"/>
          <w:szCs w:val="32"/>
        </w:rPr>
        <w:t>เพื่อให้การเข้าถึงบริการในงานจิตเวชได้ครอบคลุมได้เพิ่มการเข้าถึงบริการเด็กสมาธิสั้นให้ได้มากกว่าร้อยละ</w:t>
      </w:r>
      <w:r>
        <w:rPr>
          <w:rFonts w:eastAsia="Calibri" w:cs="TH SarabunPSK" w:ascii="TH SarabunPSK" w:hAnsi="TH SarabunPSK"/>
          <w:sz w:val="32"/>
          <w:szCs w:val="32"/>
        </w:rPr>
        <w:t xml:space="preserve">35  </w:t>
      </w:r>
      <w:r>
        <w:rPr>
          <w:rFonts w:ascii="TH SarabunPSK" w:hAnsi="TH SarabunPSK" w:eastAsia="Calibri" w:cs="TH SarabunPSK"/>
          <w:sz w:val="32"/>
          <w:szCs w:val="32"/>
        </w:rPr>
        <w:t xml:space="preserve">จึงมีการพัฒนาระบบบริการคลินิกสุขภาพจิตเด็กและวัยรุ่น  ดังนี้ ขยายบริการ </w:t>
      </w:r>
      <w:r>
        <w:rPr>
          <w:rFonts w:eastAsia="Calibri" w:cs="TH SarabunPSK" w:ascii="TH SarabunPSK" w:hAnsi="TH SarabunPSK"/>
          <w:sz w:val="32"/>
          <w:szCs w:val="32"/>
        </w:rPr>
        <w:t xml:space="preserve">OPD </w:t>
      </w:r>
      <w:r>
        <w:rPr>
          <w:rFonts w:ascii="TH SarabunPSK" w:hAnsi="TH SarabunPSK" w:eastAsia="Calibri" w:cs="TH SarabunPSK"/>
          <w:sz w:val="32"/>
          <w:szCs w:val="32"/>
        </w:rPr>
        <w:t xml:space="preserve">จิตเวชเด็ก จาก </w:t>
      </w:r>
      <w:r>
        <w:rPr>
          <w:rFonts w:eastAsia="Calibri" w:cs="TH SarabunPSK" w:ascii="TH SarabunPSK" w:hAnsi="TH SarabunPSK"/>
          <w:sz w:val="32"/>
          <w:szCs w:val="32"/>
        </w:rPr>
        <w:t xml:space="preserve">3 </w:t>
      </w:r>
      <w:r>
        <w:rPr>
          <w:rFonts w:ascii="TH SarabunPSK" w:hAnsi="TH SarabunPSK" w:eastAsia="Calibri" w:cs="TH SarabunPSK"/>
          <w:sz w:val="32"/>
          <w:szCs w:val="32"/>
        </w:rPr>
        <w:t>วัน</w:t>
      </w:r>
      <w:r>
        <w:rPr>
          <w:rFonts w:eastAsia="Calibri" w:cs="TH SarabunPSK" w:ascii="TH SarabunPSK" w:hAnsi="TH SarabunPSK"/>
          <w:sz w:val="32"/>
          <w:szCs w:val="32"/>
        </w:rPr>
        <w:t>/ l</w:t>
      </w:r>
      <w:r>
        <w:rPr>
          <w:rFonts w:ascii="TH SarabunPSK" w:hAnsi="TH SarabunPSK" w:eastAsia="Calibri" w:cs="TH SarabunPSK"/>
          <w:sz w:val="32"/>
          <w:szCs w:val="32"/>
        </w:rPr>
        <w:t>สัปดาห์ ให้มีทุกวัน และผลักดันให้ทุกรพช</w:t>
      </w:r>
      <w:r>
        <w:rPr>
          <w:rFonts w:eastAsia="Calibri" w:cs="TH SarabunPSK" w:ascii="TH SarabunPSK" w:hAnsi="TH SarabunPSK"/>
          <w:sz w:val="32"/>
          <w:szCs w:val="32"/>
        </w:rPr>
        <w:t xml:space="preserve">. </w:t>
      </w:r>
      <w:r>
        <w:rPr>
          <w:rFonts w:ascii="TH SarabunPSK" w:hAnsi="TH SarabunPSK" w:eastAsia="Calibri" w:cs="TH SarabunPSK"/>
          <w:sz w:val="32"/>
          <w:szCs w:val="32"/>
        </w:rPr>
        <w:t xml:space="preserve">มียา </w:t>
      </w:r>
      <w:r>
        <w:rPr>
          <w:rFonts w:eastAsia="Calibri" w:cs="TH SarabunPSK" w:ascii="TH SarabunPSK" w:hAnsi="TH SarabunPSK"/>
          <w:sz w:val="32"/>
          <w:szCs w:val="32"/>
        </w:rPr>
        <w:t xml:space="preserve">Methylphenidate  </w:t>
      </w:r>
      <w:r>
        <w:rPr>
          <w:rFonts w:ascii="TH SarabunPSK" w:hAnsi="TH SarabunPSK" w:eastAsia="Calibri" w:cs="TH SarabunPSK"/>
          <w:sz w:val="32"/>
          <w:szCs w:val="32"/>
        </w:rPr>
        <w:t xml:space="preserve">โดยพบว่าอัตราการเข้าถึงบริการของด็กสมาธิสั้นเพิ่มขึ้นจาก ปี </w:t>
      </w:r>
      <w:r>
        <w:rPr>
          <w:rFonts w:eastAsia="Calibri" w:cs="TH SarabunPSK" w:ascii="TH SarabunPSK" w:hAnsi="TH SarabunPSK"/>
          <w:sz w:val="32"/>
          <w:szCs w:val="32"/>
        </w:rPr>
        <w:t xml:space="preserve">2565 – 2568 </w:t>
      </w:r>
      <w:r>
        <w:rPr>
          <w:rFonts w:ascii="TH SarabunPSK" w:hAnsi="TH SarabunPSK" w:eastAsia="Calibri" w:cs="TH SarabunPSK"/>
          <w:sz w:val="32"/>
          <w:szCs w:val="32"/>
        </w:rPr>
        <w:t xml:space="preserve">ดังนี้ ร้อยละ </w:t>
      </w:r>
      <w:r>
        <w:rPr>
          <w:rFonts w:eastAsia="Calibri" w:cs="TH SarabunPSK" w:ascii="TH SarabunPSK" w:hAnsi="TH SarabunPSK"/>
          <w:sz w:val="32"/>
          <w:szCs w:val="32"/>
        </w:rPr>
        <w:t xml:space="preserve">46.88, 51.71, 58.27, </w:t>
      </w:r>
      <w:r>
        <w:rPr>
          <w:rFonts w:ascii="TH SarabunPSK" w:hAnsi="TH SarabunPSK" w:eastAsia="Calibri" w:cs="TH SarabunPSK"/>
          <w:sz w:val="32"/>
          <w:szCs w:val="32"/>
        </w:rPr>
        <w:t xml:space="preserve">และ </w:t>
      </w:r>
      <w:r>
        <w:rPr>
          <w:rFonts w:eastAsia="Calibri" w:cs="TH SarabunPSK" w:ascii="TH SarabunPSK" w:hAnsi="TH SarabunPSK"/>
          <w:sz w:val="32"/>
          <w:szCs w:val="32"/>
        </w:rPr>
        <w:t xml:space="preserve">57.78 </w:t>
      </w:r>
      <w:r>
        <w:rPr>
          <w:rFonts w:ascii="TH SarabunPSK" w:hAnsi="TH SarabunPSK" w:eastAsia="Calibri" w:cs="TH SarabunPSK"/>
          <w:sz w:val="32"/>
          <w:szCs w:val="32"/>
        </w:rPr>
        <w:t xml:space="preserve">มีผลงานเป็นอันดับ </w:t>
      </w:r>
      <w:r>
        <w:rPr>
          <w:rFonts w:eastAsia="Calibri" w:cs="TH SarabunPSK" w:ascii="TH SarabunPSK" w:hAnsi="TH SarabunPSK"/>
          <w:sz w:val="32"/>
          <w:szCs w:val="32"/>
        </w:rPr>
        <w:t xml:space="preserve">1 </w:t>
      </w:r>
      <w:r>
        <w:rPr>
          <w:rFonts w:ascii="TH SarabunPSK" w:hAnsi="TH SarabunPSK" w:eastAsia="Calibri" w:cs="TH SarabunPSK"/>
          <w:sz w:val="32"/>
          <w:szCs w:val="32"/>
        </w:rPr>
        <w:t xml:space="preserve">ของเขตสุขภาพที่ </w:t>
      </w:r>
      <w:r>
        <w:rPr>
          <w:rFonts w:eastAsia="Calibri" w:cs="TH SarabunPSK" w:ascii="TH SarabunPSK" w:hAnsi="TH SarabunPSK"/>
          <w:sz w:val="32"/>
          <w:szCs w:val="32"/>
        </w:rPr>
        <w:t xml:space="preserve">7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eastAsia="Calibri" w:cs="TH SarabunPSK"/>
          <w:sz w:val="32"/>
          <w:szCs w:val="32"/>
        </w:rPr>
        <w:t xml:space="preserve">เพิ่มการเข้าบริการโรคซึมเศร้า ได้มีการคัดกรองซึมเศร้า </w:t>
      </w:r>
      <w:r>
        <w:rPr>
          <w:rFonts w:eastAsia="Calibri" w:cs="TH SarabunPSK" w:ascii="TH SarabunPSK" w:hAnsi="TH SarabunPSK"/>
          <w:sz w:val="32"/>
          <w:szCs w:val="32"/>
        </w:rPr>
        <w:t xml:space="preserve">Mental Health Check in </w:t>
      </w:r>
      <w:r>
        <w:rPr>
          <w:rFonts w:ascii="TH SarabunPSK" w:hAnsi="TH SarabunPSK" w:eastAsia="Calibri" w:cs="TH SarabunPSK"/>
          <w:sz w:val="32"/>
          <w:szCs w:val="32"/>
        </w:rPr>
        <w:t xml:space="preserve">ในนักเรียนนักศึกษา ประเมิน </w:t>
      </w:r>
      <w:r>
        <w:rPr>
          <w:rFonts w:eastAsia="Calibri" w:cs="TH SarabunPSK" w:ascii="TH SarabunPSK" w:hAnsi="TH SarabunPSK"/>
          <w:sz w:val="32"/>
          <w:szCs w:val="32"/>
        </w:rPr>
        <w:t>9Q</w:t>
      </w:r>
      <w:r>
        <w:rPr>
          <w:rFonts w:ascii="TH SarabunPSK" w:hAnsi="TH SarabunPSK" w:eastAsia="Calibri" w:cs="TH SarabunPSK"/>
          <w:sz w:val="32"/>
          <w:szCs w:val="32"/>
        </w:rPr>
        <w:t xml:space="preserve">ในกลุ่มโรคเรื้อรัง   ผู้ติดสุราและสารเสพติด  เพิ่มช่องทางการเข้าถึงระบบริการ ดังนี้  การให้บริการที่คลินิก การรับยาทางไปรษณีย์  </w:t>
      </w:r>
      <w:r>
        <w:rPr>
          <w:rFonts w:eastAsia="Calibri" w:cs="TH SarabunPSK" w:ascii="TH SarabunPSK" w:hAnsi="TH SarabunPSK"/>
          <w:sz w:val="32"/>
          <w:szCs w:val="32"/>
        </w:rPr>
        <w:t xml:space="preserve">Telemedicine </w:t>
      </w:r>
      <w:r>
        <w:rPr>
          <w:rFonts w:ascii="TH SarabunPSK" w:hAnsi="TH SarabunPSK" w:eastAsia="Calibri" w:cs="TH SarabunPSK"/>
          <w:sz w:val="32"/>
          <w:szCs w:val="32"/>
        </w:rPr>
        <w:t xml:space="preserve">ทำให้มีผู้ป่วยซึมเศร้าเข้าถึงบริการเพิ่มขึ้นจาก ปี </w:t>
      </w:r>
      <w:r>
        <w:rPr>
          <w:rFonts w:eastAsia="Calibri" w:cs="TH SarabunPSK" w:ascii="TH SarabunPSK" w:hAnsi="TH SarabunPSK"/>
          <w:sz w:val="32"/>
          <w:szCs w:val="32"/>
        </w:rPr>
        <w:t xml:space="preserve">2565 – 2568 </w:t>
      </w:r>
      <w:r>
        <w:rPr>
          <w:rFonts w:ascii="TH SarabunPSK" w:hAnsi="TH SarabunPSK" w:eastAsia="Calibri" w:cs="TH SarabunPSK"/>
          <w:sz w:val="32"/>
          <w:szCs w:val="32"/>
        </w:rPr>
        <w:t xml:space="preserve">ดังนี้ ร้อยละ </w:t>
      </w:r>
      <w:r>
        <w:rPr>
          <w:rFonts w:eastAsia="Calibri" w:cs="TH SarabunPSK" w:ascii="TH SarabunPSK" w:hAnsi="TH SarabunPSK"/>
          <w:sz w:val="32"/>
          <w:szCs w:val="32"/>
        </w:rPr>
        <w:t xml:space="preserve">85, 82, 89.94 , </w:t>
      </w:r>
      <w:r>
        <w:rPr>
          <w:rFonts w:ascii="TH SarabunPSK" w:hAnsi="TH SarabunPSK" w:eastAsia="Calibri" w:cs="TH SarabunPSK"/>
          <w:sz w:val="32"/>
          <w:szCs w:val="32"/>
        </w:rPr>
        <w:t xml:space="preserve">และ </w:t>
      </w:r>
      <w:r>
        <w:rPr>
          <w:rFonts w:eastAsia="Calibri" w:cs="TH SarabunPSK" w:ascii="TH SarabunPSK" w:hAnsi="TH SarabunPSK"/>
          <w:sz w:val="32"/>
          <w:szCs w:val="32"/>
        </w:rPr>
        <w:t xml:space="preserve">92.74 </w:t>
      </w:r>
      <w:r>
        <w:rPr>
          <w:rFonts w:ascii="TH SarabunPSK" w:hAnsi="TH SarabunPSK" w:eastAsia="Calibri" w:cs="TH SarabunPSK"/>
          <w:sz w:val="32"/>
          <w:szCs w:val="32"/>
        </w:rPr>
        <w:t>ตามลำดับ</w:t>
      </w:r>
    </w:p>
    <w:p>
      <w:pPr>
        <w:pStyle w:val="Normal"/>
        <w:spacing w:lineRule="auto" w:line="240" w:before="120" w:after="0"/>
        <w:ind w:firstLine="411" w:start="309" w:end="0"/>
        <w:jc w:val="both"/>
        <w:rPr>
          <w:rFonts w:ascii="TH SarabunPSK" w:hAnsi="TH SarabunPSK" w:eastAsia="Calibri" w:cs="TH SarabunPSK"/>
          <w:sz w:val="32"/>
          <w:szCs w:val="32"/>
        </w:rPr>
      </w:pPr>
      <w:r>
        <w:rPr>
          <w:rFonts w:eastAsia="Calibri" w:cs="TH SarabunPSK" w:ascii="TH SarabunPSK" w:hAnsi="TH SarabunPSK"/>
          <w:sz w:val="32"/>
          <w:szCs w:val="32"/>
        </w:rPr>
        <w:t>2.</w:t>
      </w:r>
      <w:r>
        <w:rPr>
          <w:rFonts w:ascii="TH SarabunPSK" w:hAnsi="TH SarabunPSK" w:eastAsia="Calibri" w:cs="TH SarabunPSK"/>
          <w:sz w:val="32"/>
          <w:szCs w:val="32"/>
        </w:rPr>
        <w:t>เพิ่มการเข้าบริการของผู้ป่วย</w:t>
      </w:r>
      <w:r>
        <w:rPr>
          <w:rFonts w:eastAsia="Calibri" w:cs="TH SarabunPSK" w:ascii="TH SarabunPSK" w:hAnsi="TH SarabunPSK"/>
          <w:sz w:val="32"/>
          <w:szCs w:val="32"/>
        </w:rPr>
        <w:t xml:space="preserve">SMIV </w:t>
      </w:r>
      <w:r>
        <w:rPr>
          <w:rFonts w:ascii="TH SarabunPSK" w:hAnsi="TH SarabunPSK" w:eastAsia="Calibri" w:cs="TH SarabunPSK"/>
          <w:sz w:val="32"/>
          <w:szCs w:val="32"/>
        </w:rPr>
        <w:t xml:space="preserve">โดยใช้ร้อยเอ็ดโมเดล ตั้งแต่การค้นหาคัดกรอง ควบคุม ส่งต่อ การรักษา ดูแลต่อเนื่อง โดยการทำงานจากหลายหน่วยงาน เช่น ตำรวจ ปกครอง ท้องถิ่น  สาธารณสุข มีการประสานงาน ในระดับอำเภอ จังหวัด ทำให้ผู้ป่วย </w:t>
      </w:r>
      <w:r>
        <w:rPr>
          <w:rFonts w:eastAsia="Calibri" w:cs="TH SarabunPSK" w:ascii="TH SarabunPSK" w:hAnsi="TH SarabunPSK"/>
          <w:sz w:val="32"/>
          <w:szCs w:val="32"/>
        </w:rPr>
        <w:t xml:space="preserve">SMIV </w:t>
      </w:r>
      <w:r>
        <w:rPr>
          <w:rFonts w:ascii="TH SarabunPSK" w:hAnsi="TH SarabunPSK" w:eastAsia="Calibri" w:cs="TH SarabunPSK"/>
          <w:sz w:val="32"/>
          <w:szCs w:val="32"/>
        </w:rPr>
        <w:t xml:space="preserve">ได้เข้าถึงบริการและได้ดูแลต่อเนื่องเพิ่มขึ้นจาก    ปี </w:t>
      </w:r>
      <w:r>
        <w:rPr>
          <w:rFonts w:eastAsia="Calibri" w:cs="TH SarabunPSK" w:ascii="TH SarabunPSK" w:hAnsi="TH SarabunPSK"/>
          <w:sz w:val="32"/>
          <w:szCs w:val="32"/>
        </w:rPr>
        <w:t xml:space="preserve">2567 </w:t>
      </w:r>
      <w:r>
        <w:rPr>
          <w:rFonts w:ascii="TH SarabunPSK" w:hAnsi="TH SarabunPSK" w:eastAsia="Calibri" w:cs="TH SarabunPSK"/>
          <w:sz w:val="32"/>
          <w:szCs w:val="32"/>
        </w:rPr>
        <w:t xml:space="preserve">เป็นร้อยละ </w:t>
      </w:r>
      <w:r>
        <w:rPr>
          <w:rFonts w:eastAsia="Calibri" w:cs="TH SarabunPSK" w:ascii="TH SarabunPSK" w:hAnsi="TH SarabunPSK"/>
          <w:sz w:val="32"/>
          <w:szCs w:val="32"/>
        </w:rPr>
        <w:t xml:space="preserve">30.90  </w:t>
      </w:r>
      <w:r>
        <w:rPr>
          <w:rFonts w:ascii="TH SarabunPSK" w:hAnsi="TH SarabunPSK" w:eastAsia="Calibri" w:cs="TH SarabunPSK"/>
          <w:sz w:val="32"/>
          <w:szCs w:val="32"/>
        </w:rPr>
        <w:t xml:space="preserve">เป็น ร้อยละ </w:t>
      </w:r>
      <w:r>
        <w:rPr>
          <w:rFonts w:eastAsia="Calibri" w:cs="TH SarabunPSK" w:ascii="TH SarabunPSK" w:hAnsi="TH SarabunPSK"/>
          <w:sz w:val="32"/>
          <w:szCs w:val="32"/>
        </w:rPr>
        <w:t xml:space="preserve">37.53  </w:t>
      </w:r>
      <w:r>
        <w:rPr>
          <w:rFonts w:ascii="TH SarabunPSK" w:hAnsi="TH SarabunPSK" w:eastAsia="Calibri" w:cs="TH SarabunPSK"/>
          <w:sz w:val="32"/>
          <w:szCs w:val="32"/>
        </w:rPr>
        <w:t xml:space="preserve">ในปี </w:t>
      </w:r>
      <w:r>
        <w:rPr>
          <w:rFonts w:eastAsia="Calibri" w:cs="TH SarabunPSK" w:ascii="TH SarabunPSK" w:hAnsi="TH SarabunPSK"/>
          <w:sz w:val="32"/>
          <w:szCs w:val="32"/>
        </w:rPr>
        <w:t>2568</w:t>
      </w:r>
    </w:p>
    <w:p>
      <w:pPr>
        <w:pStyle w:val="Normal"/>
        <w:spacing w:lineRule="auto" w:line="240" w:before="120" w:after="0"/>
        <w:ind w:firstLine="411" w:start="309" w:end="0"/>
        <w:jc w:val="both"/>
        <w:rPr>
          <w:rFonts w:ascii="TH SarabunPSK" w:hAnsi="TH SarabunPSK" w:eastAsia="Calibri" w:cs="TH SarabunPSK"/>
          <w:sz w:val="32"/>
          <w:szCs w:val="32"/>
        </w:rPr>
      </w:pPr>
      <w:r>
        <w:rPr>
          <w:rFonts w:eastAsia="Calibri" w:cs="TH SarabunPSK" w:ascii="TH SarabunPSK" w:hAnsi="TH SarabunPSK"/>
          <w:sz w:val="32"/>
          <w:szCs w:val="32"/>
        </w:rPr>
        <w:t>3.</w:t>
      </w:r>
      <w:r>
        <w:rPr>
          <w:rFonts w:cs="TH SarabunPSK" w:ascii="TH SarabunPSK" w:hAnsi="TH SarabunPSK"/>
          <w:sz w:val="32"/>
          <w:szCs w:val="32"/>
        </w:rPr>
        <w:t xml:space="preserve"> </w:t>
      </w:r>
      <w:r>
        <w:rPr>
          <w:rFonts w:ascii="TH SarabunPSK" w:hAnsi="TH SarabunPSK" w:eastAsia="Calibri" w:cs="TH SarabunPSK"/>
          <w:sz w:val="32"/>
          <w:szCs w:val="32"/>
        </w:rPr>
        <w:t xml:space="preserve">เพื่อให้ การรักษาพยาบาลผู้ป่วยจิตเวชและผู้ติสารเสพติดให้เป็นไปตามมาตรฐาน ได้กำกำหนดแนวทางในการให้ข้อมูลและการเซนต์ยินยอมรับการรักษา </w:t>
      </w:r>
      <w:r>
        <w:rPr>
          <w:rFonts w:eastAsia="Calibri" w:cs="TH SarabunPSK" w:ascii="TH SarabunPSK" w:hAnsi="TH SarabunPSK"/>
          <w:sz w:val="32"/>
          <w:szCs w:val="32"/>
        </w:rPr>
        <w:t xml:space="preserve">informed consent </w:t>
      </w:r>
      <w:r>
        <w:rPr>
          <w:rFonts w:ascii="TH SarabunPSK" w:hAnsi="TH SarabunPSK" w:eastAsia="Calibri" w:cs="TH SarabunPSK"/>
          <w:sz w:val="32"/>
          <w:szCs w:val="32"/>
        </w:rPr>
        <w:t xml:space="preserve">โดยผู้ที่มีสิทธิในการเซ็น คือ ผู้ดูแล บริบาลผู้ป่วยโดยชอบธรรม อันได้แก่ ญาติสายตรง เท่านั้น และการให้ข้อมูล การยินยอมให้การรักษาเพิ่มเติมในกลุ่มผู้ป่วยผ่าตัดและในหัตถการที่มีความเสี่ยงสูง ได้แก่ </w:t>
      </w:r>
      <w:r>
        <w:rPr>
          <w:rFonts w:eastAsia="Calibri" w:cs="TH SarabunPSK" w:ascii="TH SarabunPSK" w:hAnsi="TH SarabunPSK"/>
          <w:sz w:val="32"/>
          <w:szCs w:val="32"/>
        </w:rPr>
        <w:t xml:space="preserve">ECT </w:t>
      </w:r>
      <w:r>
        <w:rPr>
          <w:rFonts w:ascii="TH SarabunPSK" w:hAnsi="TH SarabunPSK" w:eastAsia="Calibri" w:cs="TH SarabunPSK"/>
          <w:sz w:val="32"/>
          <w:szCs w:val="32"/>
        </w:rPr>
        <w:t>หรือ การเข้าร่วมวิจัยและทดลอง คือญาติสายตรงเท่านั้น เช่น พ่อ แม่ สามี ภรรยา ลูก เป็นต้น</w:t>
      </w:r>
    </w:p>
    <w:p>
      <w:pPr>
        <w:pStyle w:val="Normal"/>
        <w:autoSpaceDE w:val="false"/>
        <w:spacing w:lineRule="auto" w:line="240" w:before="0" w:after="0"/>
        <w:ind w:firstLine="720" w:end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  <w:t>4.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เกิดระบบ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Pre-hospital care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ในผู้ป่วยจิตเวชฉุกเฉินและที่มีพฤติกรรมรุนแรงความเสี่ยงสูง มีการให้คำปรึกษาการรักษาแก่โรงพยาบาลชุมชน และได้รับความร่วมมือของภาคีเครือข่าย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>/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อสม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>.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ตำรวจ </w:t>
      </w:r>
    </w:p>
    <w:p>
      <w:pPr>
        <w:pStyle w:val="Normal"/>
        <w:numPr>
          <w:ilvl w:val="0"/>
          <w:numId w:val="8"/>
        </w:numPr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color w:val="000000"/>
          <w:sz w:val="32"/>
          <w:szCs w:val="32"/>
        </w:rPr>
        <w:t>พัฒนาการบริการเชิงรุกในชุมชน</w:t>
      </w:r>
    </w:p>
    <w:p>
      <w:pPr>
        <w:pStyle w:val="Normal"/>
        <w:numPr>
          <w:ilvl w:val="0"/>
          <w:numId w:val="2"/>
        </w:numPr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พัฒนาระบบการดูแล ผู้ป่วยจิตเวชในเรือนจำ</w:t>
      </w:r>
    </w:p>
    <w:p>
      <w:pPr>
        <w:pStyle w:val="Normal"/>
        <w:autoSpaceDE w:val="false"/>
        <w:spacing w:lineRule="auto" w:line="240" w:before="0" w:after="0"/>
        <w:ind w:start="1080" w:end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</w:r>
    </w:p>
    <w:p>
      <w:pPr>
        <w:pStyle w:val="Normal"/>
        <w:spacing w:lineRule="auto" w:line="240" w:before="0" w:after="0"/>
        <w:ind w:start="1080" w:end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/>
          <w:bCs/>
          <w:color w:val="3333CC"/>
          <w:sz w:val="32"/>
          <w:szCs w:val="32"/>
          <w:u w:val="single"/>
        </w:rPr>
        <w:t>ผลการพัฒนาที่โดดเด่นและภาคภูมิใจ</w:t>
      </w:r>
    </w:p>
    <w:p>
      <w:pPr>
        <w:pStyle w:val="Normal"/>
        <w:spacing w:lineRule="auto" w:line="240" w:before="0" w:after="0"/>
        <w:ind w:start="1080" w:end="0"/>
        <w:jc w:val="both"/>
        <w:rPr/>
      </w:pPr>
      <w:r>
        <w:rPr>
          <w:rFonts w:cs="TH SarabunPSK" w:ascii="TH SarabunPSK" w:hAnsi="TH SarabunPSK"/>
          <w:sz w:val="32"/>
          <w:szCs w:val="32"/>
        </w:rPr>
        <w:t xml:space="preserve">1. </w:t>
      </w:r>
      <w:r>
        <w:rPr>
          <w:rFonts w:ascii="TH SarabunPSK" w:hAnsi="TH SarabunPSK" w:cs="TH SarabunPSK"/>
          <w:sz w:val="32"/>
          <w:szCs w:val="32"/>
        </w:rPr>
        <w:t xml:space="preserve">ร้อยละการเข้าถึงบริการของเด็กสมาธิสั้นได้มากเป็นอันดับ </w:t>
      </w:r>
      <w:r>
        <w:rPr>
          <w:rFonts w:cs="TH SarabunPSK" w:ascii="TH SarabunPSK" w:hAnsi="TH SarabunPSK"/>
          <w:sz w:val="32"/>
          <w:szCs w:val="32"/>
        </w:rPr>
        <w:t xml:space="preserve">1 </w:t>
      </w:r>
      <w:r>
        <w:rPr>
          <w:rFonts w:ascii="TH SarabunPSK" w:hAnsi="TH SarabunPSK" w:cs="TH SarabunPSK"/>
          <w:sz w:val="32"/>
          <w:szCs w:val="32"/>
        </w:rPr>
        <w:t xml:space="preserve">ของเขตบริการสุขภาพที่ </w:t>
      </w:r>
      <w:r>
        <w:rPr>
          <w:rFonts w:cs="TH SarabunPSK" w:ascii="TH SarabunPSK" w:hAnsi="TH SarabunPSK"/>
          <w:sz w:val="32"/>
          <w:szCs w:val="32"/>
        </w:rPr>
        <w:t xml:space="preserve">7  </w:t>
      </w:r>
      <w:r>
        <w:rPr>
          <w:rFonts w:ascii="TH SarabunPSK" w:hAnsi="TH SarabunPSK" w:cs="TH SarabunPSK"/>
          <w:sz w:val="32"/>
          <w:szCs w:val="32"/>
        </w:rPr>
        <w:t xml:space="preserve">ผลงานคือ ร้อยละ </w:t>
      </w:r>
      <w:r>
        <w:rPr>
          <w:rFonts w:cs="TH SarabunPSK" w:ascii="TH SarabunPSK" w:hAnsi="TH SarabunPSK"/>
          <w:sz w:val="32"/>
          <w:szCs w:val="32"/>
        </w:rPr>
        <w:t xml:space="preserve">57.78 </w:t>
      </w:r>
      <w:r>
        <w:rPr>
          <w:rFonts w:ascii="TH SarabunPSK" w:hAnsi="TH SarabunPSK" w:cs="TH SarabunPSK"/>
          <w:sz w:val="32"/>
          <w:szCs w:val="32"/>
        </w:rPr>
        <w:t xml:space="preserve">ได้มากกว่าเกณฑ์ที่กำหนดไว้ที่ ร้อยละ </w:t>
      </w:r>
      <w:r>
        <w:rPr>
          <w:rFonts w:cs="TH SarabunPSK" w:ascii="TH SarabunPSK" w:hAnsi="TH SarabunPSK"/>
          <w:sz w:val="32"/>
          <w:szCs w:val="32"/>
        </w:rPr>
        <w:t>35</w:t>
      </w:r>
    </w:p>
    <w:p>
      <w:pPr>
        <w:pStyle w:val="Normal"/>
        <w:spacing w:lineRule="auto" w:line="240" w:before="0" w:after="0"/>
        <w:ind w:start="1080" w:end="0"/>
        <w:jc w:val="both"/>
        <w:rPr/>
      </w:pPr>
      <w:r>
        <w:rPr>
          <w:rFonts w:cs="TH SarabunPSK" w:ascii="TH SarabunPSK" w:hAnsi="TH SarabunPSK"/>
          <w:sz w:val="32"/>
          <w:szCs w:val="32"/>
        </w:rPr>
        <w:t xml:space="preserve">2. </w:t>
      </w:r>
      <w:r>
        <w:rPr>
          <w:rFonts w:ascii="TH SarabunPSK" w:hAnsi="TH SarabunPSK" w:cs="TH SarabunPSK"/>
          <w:sz w:val="32"/>
          <w:szCs w:val="32"/>
        </w:rPr>
        <w:t xml:space="preserve">ร้อยละการเข้าบริการโรคซึมเศร้าเป้าหมายที่ไม่ต่ำว่า ร้อยละ </w:t>
      </w:r>
      <w:r>
        <w:rPr>
          <w:rFonts w:cs="TH SarabunPSK" w:ascii="TH SarabunPSK" w:hAnsi="TH SarabunPSK"/>
          <w:sz w:val="32"/>
          <w:szCs w:val="32"/>
        </w:rPr>
        <w:t xml:space="preserve">85 </w:t>
      </w:r>
      <w:r>
        <w:rPr>
          <w:rFonts w:ascii="TH SarabunPSK" w:hAnsi="TH SarabunPSK" w:cs="TH SarabunPSK"/>
          <w:sz w:val="32"/>
          <w:szCs w:val="32"/>
        </w:rPr>
        <w:t xml:space="preserve">ผลงานคือ ร้อยละ </w:t>
      </w:r>
      <w:r>
        <w:rPr>
          <w:rFonts w:cs="TH SarabunPSK" w:ascii="TH SarabunPSK" w:hAnsi="TH SarabunPSK"/>
          <w:sz w:val="32"/>
          <w:szCs w:val="32"/>
        </w:rPr>
        <w:t>92.74</w:t>
      </w:r>
    </w:p>
    <w:p>
      <w:pPr>
        <w:pStyle w:val="Normal"/>
        <w:spacing w:lineRule="auto" w:line="240" w:before="0" w:after="0"/>
        <w:ind w:start="720" w:end="0"/>
        <w:jc w:val="both"/>
        <w:rPr/>
      </w:pPr>
      <w:r>
        <w:rPr>
          <w:rFonts w:cs="TH SarabunPSK" w:ascii="TH SarabunPSK" w:hAnsi="TH SarabunPSK"/>
          <w:sz w:val="32"/>
          <w:szCs w:val="32"/>
        </w:rPr>
        <w:t xml:space="preserve">     3. </w:t>
      </w:r>
      <w:r>
        <w:rPr>
          <w:rFonts w:ascii="TH SarabunPSK" w:hAnsi="TH SarabunPSK" w:cs="TH SarabunPSK"/>
          <w:sz w:val="32"/>
          <w:szCs w:val="32"/>
        </w:rPr>
        <w:t>โครงการร้อยเอ็ดโมเดล ได้ดำเนินการจากหลายภาคส่วน ในการดูแลผู้ป่วยจิตเวชและยาเสพติดแบบครบวงจร เพื่อให้ได้รับการดูแลรักษาอย่างทั่วถึง ต่อเนื่อง ไม่ก่อเหตุซ้ำ</w:t>
      </w:r>
    </w:p>
    <w:p>
      <w:pPr>
        <w:pStyle w:val="Normal"/>
        <w:autoSpaceDE w:val="false"/>
        <w:spacing w:lineRule="auto" w:line="240" w:before="0" w:after="0"/>
        <w:ind w:start="1080" w:end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</w:r>
    </w:p>
    <w:tbl>
      <w:tblPr>
        <w:tblW w:w="101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765"/>
        <w:gridCol w:w="1093"/>
        <w:gridCol w:w="1104"/>
        <w:gridCol w:w="1104"/>
        <w:gridCol w:w="1042"/>
        <w:gridCol w:w="981"/>
        <w:gridCol w:w="1104"/>
      </w:tblGrid>
      <w:tr>
        <w:trPr>
          <w:trHeight w:val="743" w:hRule="atLeast"/>
        </w:trPr>
        <w:tc>
          <w:tcPr>
            <w:tcW w:w="3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>ข้อมูล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/</w:t>
            </w: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ตัวชี้วัด 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>เป้าหมาย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>ปีปัจจุบัน</w:t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2564</w:t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2565</w:t>
            </w:r>
          </w:p>
        </w:tc>
        <w:tc>
          <w:tcPr>
            <w:tcW w:w="1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2566</w:t>
            </w:r>
          </w:p>
        </w:tc>
        <w:tc>
          <w:tcPr>
            <w:tcW w:w="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2567</w:t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00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2568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</w:r>
          </w:p>
        </w:tc>
      </w:tr>
      <w:tr>
        <w:trPr>
          <w:trHeight w:val="365" w:hRule="atLeast"/>
        </w:trPr>
        <w:tc>
          <w:tcPr>
            <w:tcW w:w="3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pacing w:lineRule="auto" w:line="240" w:before="0" w:after="0"/>
              <w:ind w:hanging="360" w:start="360" w:end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b/>
                <w:bCs/>
                <w:color w:val="000000"/>
                <w:sz w:val="32"/>
                <w:szCs w:val="32"/>
                <w:highlight w:val="cyan"/>
                <w:u w:val="single"/>
              </w:rPr>
              <w:t xml:space="preserve">PCT </w:t>
            </w:r>
            <w:r>
              <w:rPr>
                <w:rFonts w:ascii="TH SarabunPSK" w:hAnsi="TH SarabunPSK" w:eastAsia="Calibri" w:cs="TH SarabunPSK"/>
                <w:b/>
                <w:b/>
                <w:bCs/>
                <w:color w:val="000000"/>
                <w:sz w:val="32"/>
                <w:szCs w:val="32"/>
                <w:highlight w:val="cyan"/>
                <w:u w:val="single"/>
              </w:rPr>
              <w:t>จิตเวช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</w:tr>
      <w:tr>
        <w:trPr>
          <w:trHeight w:val="377" w:hRule="atLeast"/>
        </w:trPr>
        <w:tc>
          <w:tcPr>
            <w:tcW w:w="3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sz w:val="32"/>
                <w:szCs w:val="32"/>
              </w:rPr>
              <w:t>ระยะเวลารอคอยผู้ปวยนอกจิตเวช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 xml:space="preserve">‹ 120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>นาที</w:t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100</w:t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97</w:t>
            </w:r>
          </w:p>
        </w:tc>
        <w:tc>
          <w:tcPr>
            <w:tcW w:w="1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96</w:t>
            </w:r>
          </w:p>
        </w:tc>
        <w:tc>
          <w:tcPr>
            <w:tcW w:w="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84</w:t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82</w:t>
            </w:r>
          </w:p>
        </w:tc>
      </w:tr>
      <w:tr>
        <w:trPr>
          <w:trHeight w:val="365" w:hRule="atLeast"/>
        </w:trPr>
        <w:tc>
          <w:tcPr>
            <w:tcW w:w="3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sz w:val="32"/>
                <w:szCs w:val="32"/>
              </w:rPr>
              <w:t>อัตราการเข้าถึงบริการผู้ป่วยซึมเศร้า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ร้อยละ </w:t>
            </w:r>
            <w:r>
              <w:rPr>
                <w:rFonts w:eastAsia="Calibri" w:cs="TH SarabunPSK" w:ascii="TH SarabunPSK" w:hAnsi="TH SarabunPSK"/>
                <w:sz w:val="32"/>
                <w:szCs w:val="32"/>
              </w:rPr>
              <w:t>85</w:t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81</w:t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85</w:t>
            </w:r>
          </w:p>
        </w:tc>
        <w:tc>
          <w:tcPr>
            <w:tcW w:w="1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82</w:t>
            </w:r>
          </w:p>
        </w:tc>
        <w:tc>
          <w:tcPr>
            <w:tcW w:w="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89.94</w:t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92.72</w:t>
            </w:r>
          </w:p>
        </w:tc>
      </w:tr>
      <w:tr>
        <w:trPr>
          <w:trHeight w:val="377" w:hRule="atLeast"/>
        </w:trPr>
        <w:tc>
          <w:tcPr>
            <w:tcW w:w="3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sz w:val="32"/>
                <w:szCs w:val="32"/>
              </w:rPr>
              <w:t>อัตราการเข้าถึงบริการเด็กสมาธิสั้น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ร้อยละ </w:t>
            </w:r>
            <w:r>
              <w:rPr>
                <w:rFonts w:eastAsia="Calibri" w:cs="TH SarabunPSK" w:ascii="TH SarabunPSK" w:hAnsi="TH SarabunPSK"/>
                <w:sz w:val="32"/>
                <w:szCs w:val="32"/>
              </w:rPr>
              <w:t>35</w:t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42.87</w:t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46.88</w:t>
            </w:r>
          </w:p>
        </w:tc>
        <w:tc>
          <w:tcPr>
            <w:tcW w:w="1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51.71</w:t>
            </w:r>
          </w:p>
        </w:tc>
        <w:tc>
          <w:tcPr>
            <w:tcW w:w="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58.27</w:t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57.78</w:t>
            </w:r>
          </w:p>
        </w:tc>
      </w:tr>
      <w:tr>
        <w:trPr>
          <w:trHeight w:val="365" w:hRule="atLeast"/>
        </w:trPr>
        <w:tc>
          <w:tcPr>
            <w:tcW w:w="3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H SarabunPSK" w:hAnsi="TH SarabunPSK" w:eastAsia="Calibri" w:cs="TH SarabunPSK"/>
                <w:sz w:val="32"/>
                <w:szCs w:val="32"/>
              </w:rPr>
              <w:t>อัตราการผู้ป่วย</w:t>
            </w:r>
            <w:r>
              <w:rPr>
                <w:rFonts w:eastAsia="Calibri" w:cs="TH SarabunPSK" w:ascii="TH SarabunPSK" w:hAnsi="TH SarabunPSK"/>
                <w:sz w:val="32"/>
                <w:szCs w:val="32"/>
              </w:rPr>
              <w:t xml:space="preserve">SMIV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>ได้รับติดตามต่อเนื่อง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ร้อยละ </w:t>
            </w:r>
            <w:r>
              <w:rPr>
                <w:rFonts w:eastAsia="Calibri" w:cs="TH SarabunPSK" w:ascii="TH SarabunPSK" w:hAnsi="TH SarabunPSK"/>
                <w:sz w:val="32"/>
                <w:szCs w:val="32"/>
              </w:rPr>
              <w:t>92</w:t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NA</w:t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NA</w:t>
            </w:r>
          </w:p>
        </w:tc>
        <w:tc>
          <w:tcPr>
            <w:tcW w:w="1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NA</w:t>
            </w:r>
          </w:p>
        </w:tc>
        <w:tc>
          <w:tcPr>
            <w:tcW w:w="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30.90</w:t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37.53</w:t>
            </w:r>
          </w:p>
        </w:tc>
      </w:tr>
      <w:tr>
        <w:trPr>
          <w:trHeight w:val="365" w:hRule="atLeast"/>
        </w:trPr>
        <w:tc>
          <w:tcPr>
            <w:tcW w:w="3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1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</w:tr>
    </w:tbl>
    <w:p>
      <w:pPr>
        <w:pStyle w:val="Normal"/>
        <w:autoSpaceDE w:val="false"/>
        <w:spacing w:lineRule="auto" w:line="240" w:before="0" w:after="0"/>
        <w:ind w:start="1080" w:end="0"/>
        <w:jc w:val="both"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b/>
          <w:bCs/>
          <w:color w:val="000000"/>
          <w:sz w:val="32"/>
          <w:szCs w:val="32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b/>
          <w:b/>
          <w:bCs/>
          <w:color w:val="000000"/>
          <w:sz w:val="32"/>
          <w:szCs w:val="32"/>
        </w:rPr>
        <w:t>การประเมิน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 </w:t>
      </w:r>
    </w:p>
    <w:p>
      <w:pPr>
        <w:pStyle w:val="Normal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  <w:tab/>
        <w:t xml:space="preserve">-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เพื่อให้การประเมินและการส่งตรวจเพื่อการวินิจฉัยผู้ป่วยจิตเวชเป็นไปอย่างถูกต้อง ครอบคลุม ปลอดภัย และเหมาะสมกับความต้องการของผู้ป่วยโดยการใช้แบบประเมินเฉพาะโรค เช่น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2Q/9Q/8Q, CIWA-Ar, BPRS, OAS ,SNAP-IV, CDI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และแนวทาง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Severe Sepsis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ในรายที่มีภาวะติดเชื้อ รวมทั้งการวัดสัญญาณชีพ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>/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โภชนาการ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/ADL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และงมีการพัฒนาระบบริการการส่งต่อผู้ป่วย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SMIV 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โดยเพิ่มการ ตรวจ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EKG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เจาะ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lap CBC Electrolyte BUN Cr FBS urine amphetamine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ทำให้สามารถแยกประเภทผู้ป่วย วางแผนการดูแลที่เหมาะสม ลดภาวะแทรกซ้อนจากโรคร่วม และลดอันตรายจากพฤติกรรมเสี่ยง มีความปลอดภัยทั้งผู้ป่วยและบุคลากร</w:t>
      </w:r>
    </w:p>
    <w:p>
      <w:pPr>
        <w:pStyle w:val="Normal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  <w:tab/>
        <w:t xml:space="preserve">-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เพื่อให้การวินิจฉัยโรคเป็นไปอย่างถูกต้องตามเกณฑ์การวินิจฉัย จึงมีการปรับปรุงกระบวนการประเมินโดยแบบประเมินมาช่วยให้ได้ทราบระดับความรุนแรง เช่น ในผู้สูบบุหรี่ได้รับการบันทึกการวินิจฉัยโรคภาวะติดนิโคติน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(nicotine dependence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โดยใช้แบบประเมิน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Heavine of Smoking Index 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และบันทึกใน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Special PP  </w:t>
      </w:r>
    </w:p>
    <w:tbl>
      <w:tblPr>
        <w:tblW w:w="1014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747"/>
        <w:gridCol w:w="1088"/>
        <w:gridCol w:w="1099"/>
        <w:gridCol w:w="1099"/>
        <w:gridCol w:w="1038"/>
        <w:gridCol w:w="976"/>
        <w:gridCol w:w="1099"/>
      </w:tblGrid>
      <w:tr>
        <w:trPr>
          <w:trHeight w:val="751" w:hRule="atLeast"/>
        </w:trPr>
        <w:tc>
          <w:tcPr>
            <w:tcW w:w="3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>ข้อมูล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/</w:t>
            </w: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ตัวชี้วัด </w:t>
            </w:r>
          </w:p>
        </w:tc>
        <w:tc>
          <w:tcPr>
            <w:tcW w:w="10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>เป้าหมาย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>ปีปัจจุบัน</w:t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2564</w:t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2565</w:t>
            </w:r>
          </w:p>
        </w:tc>
        <w:tc>
          <w:tcPr>
            <w:tcW w:w="1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2566</w:t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2567</w:t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00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2568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</w:r>
          </w:p>
        </w:tc>
      </w:tr>
      <w:tr>
        <w:trPr>
          <w:trHeight w:val="369" w:hRule="atLeast"/>
        </w:trPr>
        <w:tc>
          <w:tcPr>
            <w:tcW w:w="3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อุบัติการณ์การย้ายเข้า </w:t>
            </w:r>
            <w:r>
              <w:rPr>
                <w:rFonts w:eastAsia="Calibri" w:cs="TH SarabunPSK" w:ascii="TH SarabunPSK" w:hAnsi="TH SarabunPSK"/>
                <w:sz w:val="32"/>
                <w:szCs w:val="32"/>
              </w:rPr>
              <w:t xml:space="preserve">ICU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โดยไม่ได้วางแผน </w:t>
            </w:r>
            <w:r>
              <w:rPr>
                <w:rFonts w:eastAsia="Calibri" w:cs="TH SarabunPSK" w:ascii="TH SarabunPSK" w:hAnsi="TH SarabunPSK"/>
                <w:sz w:val="32"/>
                <w:szCs w:val="32"/>
              </w:rPr>
              <w:t xml:space="preserve">(Unplaned ICU)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>ครั้ง</w:t>
            </w:r>
          </w:p>
        </w:tc>
        <w:tc>
          <w:tcPr>
            <w:tcW w:w="10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</w:t>
            </w:r>
          </w:p>
        </w:tc>
      </w:tr>
      <w:tr>
        <w:trPr>
          <w:trHeight w:val="751" w:hRule="atLeast"/>
        </w:trPr>
        <w:tc>
          <w:tcPr>
            <w:tcW w:w="3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360" w:start="360" w:end="0"/>
              <w:jc w:val="both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highlight w:val="cyan"/>
                <w:u w:val="single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2.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>อุบัติการณ์การใส่ท่อช่วยหายใจในหอผู้ป่วยในจิตเวช</w:t>
            </w:r>
            <w:r>
              <w:rPr>
                <w:rFonts w:eastAsia="Calibri" w:cs="TH SarabunPSK" w:ascii="TH SarabunPSK" w:hAnsi="TH SarabunPSK"/>
                <w:sz w:val="32"/>
                <w:szCs w:val="32"/>
              </w:rPr>
              <w:t>(Unplaned intubation) (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>ครั้ง</w:t>
            </w:r>
            <w:r>
              <w:rPr>
                <w:rFonts w:eastAsia="Calibri" w:cs="TH SarabunPSK" w:ascii="TH SarabunPSK" w:hAnsi="TH SarabunPSK"/>
                <w:sz w:val="32"/>
                <w:szCs w:val="32"/>
              </w:rPr>
              <w:t>)</w:t>
            </w:r>
          </w:p>
        </w:tc>
        <w:tc>
          <w:tcPr>
            <w:tcW w:w="10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3</w:t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4</w:t>
            </w:r>
          </w:p>
        </w:tc>
      </w:tr>
      <w:tr>
        <w:trPr>
          <w:trHeight w:val="381" w:hRule="atLeast"/>
        </w:trPr>
        <w:tc>
          <w:tcPr>
            <w:tcW w:w="3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</w:tr>
    </w:tbl>
    <w:p>
      <w:pPr>
        <w:pStyle w:val="Normal"/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b/>
          <w:b/>
          <w:bCs/>
          <w:color w:val="000000"/>
          <w:sz w:val="32"/>
          <w:szCs w:val="32"/>
        </w:rPr>
        <w:t xml:space="preserve">การวางแผนและการดูแลผู้ป่วย 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  <w:tab/>
        <w:t>1.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เพื่อให้การดูแลผู้ป่วยจิตเวชเด็กและวัยรุ่น จิตเวชผู้ใหญ่ ผู้ติดสารเสพติด โดยเฉพาะผู้ป่วยจิตเวชเรื้อรังและซับซ้อน เป็นไปอย่างต่อเนื่อง ครอบคลุม และลดการกลับมารักษาซ้อน  ได้มีการวางแผนดูแลแบบสหสาขาวิชาชีพตั้งแต่แรกรับ ญาติมีส่วนร่วมในการวางแผนการรักษา โดยใช้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CPG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และแนวทางการดูแลที่ชัดเจน เช่น ผู้ป่วย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SMIV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ผู้ติดสารเสพติด และ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alcohol withdrawal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มีการบันทึกใน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progress note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และประสานงานผ่านการประชุม การส่งต่อ การเยี่ยมบ้าน รวมถึงทดลองกลับบ้านพร้อมติดตามต่อเนื่องผ่าน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Line application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และวางแผนในการบำบัดยาเสพติดทั้งในระยะ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Acute ,IMC 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และ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LTC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ทำให้ผู้ป่วยและญาติมีส่วนร่วมในการวางแผน เข้าใจโรค แนวทางการดูแลตนเองเมื่อกลับบ้าน การสื่อสารระหว่างทีมชัดเจนและครบถ้วน ส่งผลให้การปฏิบัติตามแผนมีความต่อเนื่อง ครอบคลุม และมีประสิทธิภาพ อัตราการ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readmit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เป็นไปตามเกณฑ์เป้าหมาย นอกจากนั้นได้ทำ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CPG/CNPG 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ในให้ครอบคลุม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5 </w:t>
      </w:r>
      <w:r>
        <w:rPr>
          <w:rFonts w:ascii="TH SarabunPSK" w:hAnsi="TH SarabunPSK" w:cs="TH SarabunPSK"/>
          <w:color w:val="000000"/>
          <w:sz w:val="32"/>
          <w:szCs w:val="32"/>
        </w:rPr>
        <w:t>โรคแรก  เพื่อให้การดูแลอย่างทันท่วงที ปลอดภัย เหมาะสมตามมาตรฐานวิชาชีพ โดย ทีมนำทางคลินิก มีแนวทางการป้องกันความเสี่ยง  โดยนำตัวชี้วัดที่เป็นความเสี่ยงมาวิเคราะห์</w:t>
      </w:r>
      <w:r>
        <w:rPr>
          <w:rFonts w:cs="TH SarabunPSK" w:ascii="TH SarabunPSK" w:hAnsi="TH SarabunPSK"/>
          <w:color w:val="000000"/>
          <w:sz w:val="32"/>
          <w:szCs w:val="32"/>
        </w:rPr>
        <w:t>(RCA)</w:t>
      </w:r>
      <w:r>
        <w:rPr>
          <w:rFonts w:ascii="TH SarabunPSK" w:hAnsi="TH SarabunPSK" w:cs="TH SarabunPSK"/>
          <w:color w:val="000000"/>
          <w:sz w:val="32"/>
          <w:szCs w:val="32"/>
        </w:rPr>
        <w:t>เพื่อหาปัญหาที่แท้จริง และนำมาปรับปรุงแก้ไขระบบให้มีประสิทธิภาพยิ่งขึ้น มีการทบทวนเมื่อเกิดความเสี่ยง โดยเฉพาะอย่างยิ่งโรคจิตเวชที่มีภาวะแทรกซ้อน หรือมีโรคร่วมทางกาย เช่น เบาหวาน ความดันโลหิต โรคทางสมอง เป็นต้น</w:t>
      </w:r>
    </w:p>
    <w:p>
      <w:pPr>
        <w:pStyle w:val="Normal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  <w:tab/>
        <w:t>2.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เพื่อให้ผู้ป่วยจิตเวช โดยเฉพาะรายที่มีปัญหาซับซ้อน ได้รับการดูแลต่อเนื่องหลังจำหน่าย ลดการกลับมารักษาซ้ำโดยไม่ได้วางแผนภายใน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28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วัน</w:t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โดยสหสาขาวิชาชีพร่วมประเมินและวางแผนจำหน่าย มีการจัด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Case Management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จัดกิจกรรมบำบัด ทดลองเยี่ยมบ้านก่อนจำหน่าย และเชื่อมต่อการดูแลต่อเนื่องกับ รพช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.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ผ่านไลน์แอปพลิเคชัน เพื่อส่งต่อข้อมูลแก่ทีมชุมชน ทำให้ผู้ป่วยได้รับการเตรียมพร้อมก่อนจำหน่าย ทั้งด้านการดูแลตนเองและความเข้าใจของญาติ นอกจากนี้ได้พัฒนาการะบวนการวางแผนจำหน่ายผู้ติดสารเสพติด ให้ความรู้ สร้างแรงจูงใจในการรับประทานยา นัดญาติมาทำ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Family therapy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เสริมสร้างทักษะการเผชิญกับอาการอยากยา ทักษะปฏิเสธ ในผู้ป่วยติดสารเสพติด การประสานเครือข่ายในชุมชน ติดตามเยี่ยมเมื่อ  กลับไปอยู่ที่บ้าน รวมถึงการประสานกับญาติโดยใช้ ไลน์เพื่อให้คำปรึกษาและสื่อสารได้รวดเร็วขึ้น  และเตรียมผู้ป่วยเพื่อบำบัดต่อระยะกลางและระยะยาวที่มินิธัญญารักษ์  ส่งผลให้อัตราการกลับมารักษาซ้ำภายใน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28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วันลดลงอย่างต่อเนื่อง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b/>
          <w:bCs/>
          <w:color w:val="000000"/>
          <w:sz w:val="32"/>
          <w:szCs w:val="32"/>
        </w:rPr>
        <w:tab/>
      </w:r>
      <w:r>
        <w:rPr>
          <w:rFonts w:ascii="TH SarabunPSK" w:hAnsi="TH SarabunPSK" w:eastAsia="Calibri" w:cs="TH SarabunPSK"/>
          <w:b/>
          <w:b/>
          <w:bCs/>
          <w:color w:val="000000"/>
          <w:sz w:val="32"/>
          <w:szCs w:val="32"/>
        </w:rPr>
        <w:t>ตัวอย่างแนวทางการดูแลผู้ป่วยจิตเวช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H SarabunPSK" w:hAnsi="TH SarabunPSK" w:eastAsia="CordiaUPC" w:cs="TH SarabunPSK"/>
          <w:b/>
          <w:sz w:val="32"/>
          <w:szCs w:val="32"/>
        </w:rPr>
      </w:pPr>
      <w:r>
        <w:rPr>
          <w:rFonts w:ascii="TH SarabunPSK" w:hAnsi="TH SarabunPSK" w:eastAsia="CordiaUPC" w:cs="TH SarabunPSK"/>
          <w:b/>
          <w:b/>
          <w:sz w:val="32"/>
          <w:szCs w:val="32"/>
        </w:rPr>
        <w:t>แนวปฏิบัติในการดูแลผู้ป่วยที่มีพฤติกรรมก้าวร้าวรุนแรง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H SarabunPSK" w:hAnsi="TH SarabunPSK" w:eastAsia="CordiaUPC" w:cs="TH SarabunPSK"/>
          <w:b/>
          <w:sz w:val="32"/>
          <w:szCs w:val="32"/>
        </w:rPr>
      </w:pPr>
      <w:r>
        <w:rPr>
          <w:rFonts w:ascii="TH SarabunPSK" w:hAnsi="TH SarabunPSK" w:eastAsia="CordiaUPC" w:cs="TH SarabunPSK"/>
          <w:b/>
          <w:b/>
          <w:sz w:val="32"/>
          <w:szCs w:val="32"/>
        </w:rPr>
        <w:t>แนวปฏิบัติในการดูแลผู้ป่วยซึมเศร้า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H SarabunPSK" w:hAnsi="TH SarabunPSK" w:eastAsia="CordiaUPC" w:cs="TH SarabunPSK"/>
          <w:b/>
          <w:sz w:val="32"/>
          <w:szCs w:val="32"/>
        </w:rPr>
      </w:pPr>
      <w:r>
        <w:rPr>
          <w:rFonts w:ascii="TH SarabunPSK" w:hAnsi="TH SarabunPSK" w:eastAsia="CordiaUPC" w:cs="TH SarabunPSK"/>
          <w:b/>
          <w:b/>
          <w:sz w:val="32"/>
          <w:szCs w:val="32"/>
        </w:rPr>
        <w:t>แนวปฏิบัติในดูแลผู้ป่วยที่มีภาวะถอนพิษสุรา</w:t>
      </w:r>
    </w:p>
    <w:p>
      <w:pPr>
        <w:pStyle w:val="Normal"/>
        <w:autoSpaceDE w:val="false"/>
        <w:spacing w:lineRule="auto" w:line="240" w:before="0" w:after="3"/>
        <w:jc w:val="both"/>
        <w:rPr/>
      </w:pP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     -   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แนวทางการดูแลผู้ป่วยฆ่าตัวตายและผู้ที่มีพฤติกรรมเสี่ยงต่อการฆ่าตัวตาย </w:t>
      </w:r>
    </w:p>
    <w:p>
      <w:pPr>
        <w:pStyle w:val="Normal"/>
        <w:autoSpaceDE w:val="false"/>
        <w:spacing w:lineRule="auto" w:line="240" w:before="0" w:after="3"/>
        <w:jc w:val="both"/>
        <w:rPr/>
      </w:pP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     -  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แนวทางการดูแลป้องกันผลข้างเคียง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>/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อาการไม่พึงประสงค์จากยาจิตเวช </w:t>
      </w:r>
    </w:p>
    <w:p>
      <w:pPr>
        <w:pStyle w:val="Normal"/>
        <w:autoSpaceDE w:val="false"/>
        <w:spacing w:lineRule="auto" w:line="240" w:before="0" w:after="0"/>
        <w:jc w:val="both"/>
        <w:rPr/>
      </w:pP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     -   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แนวทางการวางแผนดูแลทางสังคมจิตใจ ในผู้ป่วยโรคจิตเภท ผู้ป่วยพยายามฆ่าตัวตาย ผู้ป่วยถูกผูกยึด </w:t>
      </w:r>
    </w:p>
    <w:p>
      <w:pPr>
        <w:pStyle w:val="Normal"/>
        <w:spacing w:lineRule="auto" w:line="240" w:before="0" w:after="0"/>
        <w:ind w:firstLine="360" w:end="0"/>
        <w:jc w:val="both"/>
        <w:rPr>
          <w:rFonts w:ascii="TH SarabunPSK" w:hAnsi="TH SarabunPSK" w:eastAsia="CordiaUPC" w:cs="TH SarabunPSK"/>
          <w:b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-   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แนวทางการดูแลผู้ป่วยจิตเวชฉุกเฉิน</w:t>
      </w:r>
    </w:p>
    <w:p>
      <w:pPr>
        <w:pStyle w:val="Normal"/>
        <w:numPr>
          <w:ilvl w:val="0"/>
          <w:numId w:val="3"/>
        </w:numPr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sz w:val="32"/>
          <w:szCs w:val="32"/>
        </w:rPr>
      </w:pPr>
      <w:r>
        <w:rPr>
          <w:rFonts w:ascii="TH SarabunPSK" w:hAnsi="TH SarabunPSK" w:eastAsia="Calibri" w:cs="TH SarabunPSK"/>
          <w:sz w:val="32"/>
          <w:szCs w:val="32"/>
        </w:rPr>
        <w:t>แนวทางติดตามการดูแลและทลลองเยี่ยมบ้านของผู้ป่วยจิตเวช</w:t>
      </w:r>
    </w:p>
    <w:p>
      <w:pPr>
        <w:pStyle w:val="Normal"/>
        <w:autoSpaceDE w:val="false"/>
        <w:spacing w:lineRule="auto" w:line="240" w:before="0" w:after="0"/>
        <w:ind w:start="284" w:end="0"/>
        <w:jc w:val="both"/>
        <w:rPr>
          <w:rFonts w:ascii="TH SarabunPSK" w:hAnsi="TH SarabunPSK" w:eastAsia="Calibri" w:cs="TH SarabunPSK"/>
          <w:sz w:val="32"/>
          <w:szCs w:val="32"/>
        </w:rPr>
      </w:pPr>
      <w:r>
        <w:rPr>
          <w:rFonts w:eastAsia="Calibri" w:cs="TH SarabunPSK" w:ascii="TH SarabunPSK" w:hAnsi="TH SarabunPSK"/>
          <w:sz w:val="32"/>
          <w:szCs w:val="32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/>
          <w:bCs/>
          <w:color w:val="000000"/>
          <w:sz w:val="32"/>
          <w:szCs w:val="32"/>
        </w:rPr>
        <w:t>การดูแลทั่วไป</w:t>
      </w:r>
    </w:p>
    <w:p>
      <w:pPr>
        <w:pStyle w:val="Normal"/>
        <w:spacing w:lineRule="auto" w:line="240" w:before="0" w:after="0"/>
        <w:ind w:firstLine="720" w:start="644" w:end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color w:val="000000"/>
          <w:sz w:val="32"/>
          <w:szCs w:val="32"/>
        </w:rPr>
        <w:t>สิ่งแวดล้อมที่เอื้อในการดูแล เพื่อจัดสภาพแวดล้อมที่ปลอดภัย เอื้อต่อการฟื้นฟูผู้ป่วยจิตเวชทุกกลุ่ม ทั้งผู้ใหญ่ เด็ก และผู้ป่วยใน โดยคำนึงถึงศักดิ์ศรี ความเป็นส่วนตัว และลดความเสี่ยง ได้มีการปรับปรุงพื้นที่ให้เหมาะสม เช่น เพิ่มจำนวนเตียงให้เพียงพอ แยกพื้นที่ดูแลเด็กและผู้ใหญ่ชัดเจน จัดห้องแยกสำหรับผู้ป่วยก้าวร้าว ติดตั้งกล้องวงจรปิดเพื่อความปลอดภัย มีแผนผังหนีไฟพร้อมซ้อมจริง และตรวจสอบอุปกรณ์ดับเพลิงตามรอบ ทำให้ผู้ป่วยได้รับการดูแลในสภาพแวดล้อมที่เหมาะสม ลดความเสี่ยงจากพฤติกรรมรุนแรงหรือหลบหนี เพิ่มความเชื่อมั่นแก่ผู้รับบริการ ส่งผลให้บรรยากาศการดูแลมีความสงบและปลอดภัยมากขึ้น</w:t>
      </w:r>
    </w:p>
    <w:p>
      <w:pPr>
        <w:pStyle w:val="Normal"/>
        <w:spacing w:lineRule="auto" w:line="240" w:before="0" w:after="0"/>
        <w:ind w:firstLine="720" w:start="644" w:end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</w:r>
    </w:p>
    <w:p>
      <w:pPr>
        <w:pStyle w:val="Normal"/>
        <w:jc w:val="both"/>
        <w:rPr>
          <w:rFonts w:ascii="TH SarabunPSK" w:hAnsi="TH SarabunPSK" w:eastAsia="Calibri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/>
          <w:bCs/>
          <w:color w:val="000000"/>
          <w:sz w:val="32"/>
          <w:szCs w:val="32"/>
        </w:rPr>
        <w:t>การดูแลและบริการที่มีความเสี่ยงสูง</w:t>
      </w:r>
      <w:r>
        <w:rPr>
          <w:rFonts w:ascii="TH SarabunPSK" w:hAnsi="TH SarabunPSK" w:eastAsia="Calibri" w:cs="TH SarabunPSK"/>
          <w:b/>
          <w:b/>
          <w:bCs/>
          <w:color w:val="000000"/>
          <w:sz w:val="32"/>
          <w:szCs w:val="32"/>
        </w:rPr>
        <w:t xml:space="preserve">  </w:t>
      </w:r>
    </w:p>
    <w:p>
      <w:pPr>
        <w:pStyle w:val="Normal"/>
        <w:ind w:firstLine="720" w:start="720" w:end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กระบวนการดูแลผู้ป่วย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ECT 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เพื่อให้ผู้ป่วยจิตเวชที่ได้รับการรักษาด้วย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ECT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ได้รับการดูแลอย่างปลอดภัย ครอบคลุมทั้งก่อน ระหว่าง และหลังทำหัตถการ  ไดยมีการประเมินคัดกรองก่อนทำ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ECT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เช่น ตรวจร่างกาย ส่ง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Lab, EKG, CXR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ตามข้อบ่งชี้ มีการให้ข้อมูลและขอความยินยอมจากผู้ป่วย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>/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ญาติ ทีมสหสาขา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>(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แพทย์ พยาบาล วิสัญญี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)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ทำงานร่วมกัน พร้อมมีแผนการดูแลก่อน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>-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หลังทำ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ECT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อย่างเป็นระบบ ทำให้ผู้ป่วยได้รับการดูแลตามมาตรฐานอย่างปลอดภัย ไม่มีภาวะแทรกซ้อนรุนแรง เกิดความร่วมมือในการรักษา ส่งผลให้ผู้ป่วยมีอาการทางจิตดีขึ้น</w:t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Calibri" w:cs="TH SarabunPSK"/>
          <w:b/>
          <w:bCs/>
          <w:color w:val="000000"/>
          <w:sz w:val="32"/>
          <w:szCs w:val="32"/>
          <w:u w:val="single"/>
        </w:rPr>
      </w:pPr>
      <w:r>
        <w:rPr>
          <w:rFonts w:ascii="TH SarabunPSK" w:hAnsi="TH SarabunPSK" w:eastAsia="Calibri" w:cs="TH SarabunPSK"/>
          <w:b/>
          <w:b/>
          <w:bCs/>
          <w:color w:val="000000"/>
          <w:sz w:val="32"/>
          <w:szCs w:val="32"/>
          <w:u w:val="single"/>
        </w:rPr>
        <w:t>ผลการพัฒนาที่โดดเด่นและภาคภูมิใจ</w:t>
      </w:r>
    </w:p>
    <w:p>
      <w:pPr>
        <w:pStyle w:val="Normal"/>
        <w:spacing w:lineRule="auto" w:line="240" w:before="120" w:after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b/>
          <w:bCs/>
          <w:color w:val="000000"/>
          <w:sz w:val="32"/>
          <w:szCs w:val="32"/>
        </w:rPr>
        <w:t>1.</w:t>
      </w:r>
      <w:r>
        <w:rPr>
          <w:rFonts w:ascii="TH SarabunPSK" w:hAnsi="TH SarabunPSK" w:eastAsia="Calibri" w:cs="TH SarabunPSK"/>
          <w:b/>
          <w:b/>
          <w:bCs/>
          <w:color w:val="000000"/>
          <w:sz w:val="32"/>
          <w:szCs w:val="32"/>
        </w:rPr>
        <w:t>งานวิจัย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>:   1.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การพัฒนารูปแบบการบูรณาการเพื่อลดพฤติกรรมก้าวร้าวในผู้ใช้สารเสพติดที่มีอาการทางจิตเวชในจังหวัดร้อยเอ็ด ผู้วิจัย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: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นพ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>.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ธงชัย เสรีรัตน์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(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นายแพทย์เชี่ยวชาญ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>)</w:t>
      </w:r>
    </w:p>
    <w:p>
      <w:pPr>
        <w:pStyle w:val="Normal"/>
        <w:spacing w:lineRule="auto" w:line="240" w:before="120" w:after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cs="TH SarabunPSK" w:ascii="TH SarabunPSK" w:hAnsi="TH SarabunPSK"/>
          <w:color w:val="000000"/>
          <w:sz w:val="32"/>
          <w:szCs w:val="32"/>
        </w:rPr>
        <w:t xml:space="preserve">                 2.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การพัฒนาโปรแกรมการวางแผนการจำหน่ายร่วมกับการสร้างแรงจูงใจในผู้ป่วยโรคจิตจาก  แอมเฟตามีน หอผู้ป่วยแม่ปลั่ง  ผู้วิจัย นายสมชาติ ใจพินิจ  </w:t>
      </w:r>
    </w:p>
    <w:p>
      <w:pPr>
        <w:pStyle w:val="Normal"/>
        <w:spacing w:lineRule="auto" w:line="240" w:before="0" w:after="0"/>
        <w:ind w:hanging="309" w:start="309" w:end="0"/>
        <w:jc w:val="both"/>
        <w:rPr/>
      </w:pPr>
      <w:r>
        <w:rPr>
          <w:rFonts w:eastAsia="Calibri" w:cs="TH SarabunPSK" w:ascii="TH SarabunPSK" w:hAnsi="TH SarabunPSK"/>
          <w:sz w:val="32"/>
          <w:szCs w:val="32"/>
        </w:rPr>
        <w:t xml:space="preserve">                 3.</w:t>
      </w:r>
      <w:r>
        <w:rPr>
          <w:rFonts w:ascii="TH SarabunPSK" w:hAnsi="TH SarabunPSK" w:eastAsia="Calibri" w:cs="TH SarabunPSK"/>
          <w:sz w:val="32"/>
          <w:szCs w:val="32"/>
        </w:rPr>
        <w:t xml:space="preserve">ผลของโปรแกรมปรับพฤติกรรมเด็กสมาธิสั้นสำหรับผู้ปกครองต่อปัญหาพฤติกรรมในเด็กสมาธิสั้น      และความเครียดของผู้ปกครอง นำเสนอได้อันดับ </w:t>
      </w:r>
      <w:r>
        <w:rPr>
          <w:rFonts w:eastAsia="Calibri" w:cs="TH SarabunPSK" w:ascii="TH SarabunPSK" w:hAnsi="TH SarabunPSK"/>
          <w:sz w:val="32"/>
          <w:szCs w:val="32"/>
        </w:rPr>
        <w:t xml:space="preserve">1    </w:t>
      </w:r>
      <w:r>
        <w:rPr>
          <w:rFonts w:ascii="TH SarabunPSK" w:hAnsi="TH SarabunPSK" w:eastAsia="Calibri" w:cs="TH SarabunPSK"/>
          <w:sz w:val="32"/>
          <w:szCs w:val="32"/>
        </w:rPr>
        <w:t xml:space="preserve">ปี </w:t>
      </w:r>
      <w:r>
        <w:rPr>
          <w:rFonts w:eastAsia="Calibri" w:cs="TH SarabunPSK" w:ascii="TH SarabunPSK" w:hAnsi="TH SarabunPSK"/>
          <w:sz w:val="32"/>
          <w:szCs w:val="32"/>
        </w:rPr>
        <w:t>2567</w:t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Calibri" w:cs="TH SarabunPSK"/>
          <w:sz w:val="32"/>
          <w:szCs w:val="32"/>
        </w:rPr>
      </w:pPr>
      <w:r>
        <w:rPr>
          <w:rFonts w:eastAsia="Calibri" w:cs="TH SarabunPSK" w:ascii="TH SarabunPSK" w:hAnsi="TH SarabunPSK"/>
          <w:sz w:val="32"/>
          <w:szCs w:val="32"/>
        </w:rPr>
      </w:r>
    </w:p>
    <w:p>
      <w:pPr>
        <w:pStyle w:val="Normal"/>
        <w:spacing w:lineRule="auto" w:line="240" w:before="120" w:after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</w:r>
    </w:p>
    <w:p>
      <w:pPr>
        <w:pStyle w:val="Normal"/>
        <w:spacing w:lineRule="auto" w:line="240" w:before="0" w:after="0"/>
        <w:ind w:hanging="252" w:start="252" w:end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cs="TH SarabunPSK" w:ascii="TH SarabunPSK" w:hAnsi="TH SarabunPSK"/>
          <w:b/>
          <w:bCs/>
          <w:color w:val="000000"/>
          <w:sz w:val="32"/>
          <w:szCs w:val="32"/>
        </w:rPr>
        <w:t>2.</w:t>
      </w:r>
      <w:r>
        <w:rPr>
          <w:rFonts w:ascii="TH SarabunPSK" w:hAnsi="TH SarabunPSK" w:cs="TH SarabunPSK"/>
          <w:b/>
          <w:b/>
          <w:bCs/>
          <w:color w:val="000000"/>
          <w:sz w:val="32"/>
          <w:szCs w:val="32"/>
        </w:rPr>
        <w:t>การพัฒนาคุณภาพการดูแลผู้ป่วยจิตเวชและยาเสพติดโดยใช้ระบบ</w:t>
      </w:r>
      <w:r>
        <w:rPr>
          <w:rFonts w:cs="TH SarabunPSK" w:ascii="TH SarabunPSK" w:hAnsi="TH SarabunPSK"/>
          <w:b/>
          <w:bCs/>
          <w:color w:val="000000"/>
          <w:sz w:val="32"/>
          <w:szCs w:val="32"/>
        </w:rPr>
        <w:t xml:space="preserve">Tele coaching </w:t>
      </w:r>
      <w:r>
        <w:rPr>
          <w:rFonts w:ascii="TH SarabunPSK" w:hAnsi="TH SarabunPSK" w:cs="TH SarabunPSK"/>
          <w:color w:val="000000"/>
          <w:sz w:val="32"/>
          <w:szCs w:val="32"/>
        </w:rPr>
        <w:t>มีการใช้ระบบการสื่อสารทางไกล ติดต่อกับ รพช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/>
          <w:sz w:val="32"/>
          <w:szCs w:val="32"/>
        </w:rPr>
        <w:t>รพ</w:t>
      </w:r>
      <w:r>
        <w:rPr>
          <w:rFonts w:cs="TH SarabunPSK" w:ascii="TH SarabunPSK" w:hAnsi="TH SarabunPSK"/>
          <w:color w:val="000000"/>
          <w:sz w:val="32"/>
          <w:szCs w:val="32"/>
        </w:rPr>
        <w:t>.</w:t>
      </w:r>
      <w:r>
        <w:rPr>
          <w:rFonts w:ascii="TH SarabunPSK" w:hAnsi="TH SarabunPSK" w:cs="TH SarabunPSK"/>
          <w:color w:val="000000"/>
          <w:sz w:val="32"/>
          <w:szCs w:val="32"/>
        </w:rPr>
        <w:t>สต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ในการให้คำปรึกษาจากจิตแพทย์และพยาบาลจิตเวชในการดูแลผู้ป่วยที่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admit </w:t>
      </w:r>
      <w:r>
        <w:rPr>
          <w:rFonts w:ascii="TH SarabunPSK" w:hAnsi="TH SarabunPSK" w:cs="TH SarabunPSK"/>
          <w:color w:val="000000"/>
          <w:sz w:val="32"/>
          <w:szCs w:val="32"/>
        </w:rPr>
        <w:t>ที่รพช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/>
          <w:sz w:val="32"/>
          <w:szCs w:val="32"/>
        </w:rPr>
        <w:t>รวมทั้งร่วมประชุมปรึกษากับ ตำรวจ ผู้นำหมู่บ้าน ในการดูแลผู้ป่วยที่มีปัญหาทางสุขภาพจิตและจิตเวชในชุมชน</w:t>
      </w:r>
      <w:r>
        <w:rPr>
          <w:rFonts w:cs="TH SarabunPSK" w:ascii="TH SarabunPSK" w:hAnsi="TH SarabunPSK"/>
          <w:color w:val="000000"/>
          <w:sz w:val="32"/>
          <w:szCs w:val="32"/>
        </w:rPr>
        <w:t>.</w:t>
      </w:r>
    </w:p>
    <w:p>
      <w:pPr>
        <w:pStyle w:val="Normal"/>
        <w:spacing w:lineRule="auto" w:line="240" w:before="0" w:after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cs="TH SarabunPSK" w:ascii="TH SarabunPSK" w:hAnsi="TH SarabunPSK"/>
          <w:b/>
          <w:bCs/>
          <w:color w:val="000000"/>
          <w:sz w:val="32"/>
          <w:szCs w:val="32"/>
        </w:rPr>
        <w:t>3.</w:t>
      </w:r>
      <w:r>
        <w:rPr>
          <w:rFonts w:ascii="TH SarabunPSK" w:hAnsi="TH SarabunPSK" w:cs="TH SarabunPSK"/>
          <w:b/>
          <w:b/>
          <w:bCs/>
          <w:color w:val="000000"/>
          <w:sz w:val="32"/>
          <w:szCs w:val="32"/>
        </w:rPr>
        <w:t xml:space="preserve">พัฒนาการเยี่ยมของญาติผ่านระบบไลน์แอพริเคชัน </w:t>
      </w:r>
      <w:r>
        <w:rPr>
          <w:rFonts w:ascii="TH SarabunPSK" w:hAnsi="TH SarabunPSK" w:cs="TH SarabunPSK"/>
          <w:color w:val="000000"/>
          <w:sz w:val="32"/>
          <w:szCs w:val="32"/>
        </w:rPr>
        <w:t>เพื่อลดค่าใช้จ่ายของญาติในเดินทางเข้ามา</w:t>
      </w:r>
      <w:r>
        <w:rPr>
          <w:rFonts w:ascii="TH SarabunPSK" w:hAnsi="TH SarabunPSK" w:cs="TH SarabunPSK"/>
          <w:b/>
          <w:b/>
          <w:bCs/>
          <w:color w:val="000000"/>
          <w:sz w:val="32"/>
          <w:szCs w:val="32"/>
        </w:rPr>
        <w:t>เ</w:t>
      </w:r>
      <w:r>
        <w:rPr>
          <w:rFonts w:ascii="TH SarabunPSK" w:hAnsi="TH SarabunPSK" w:cs="TH SarabunPSK"/>
          <w:color w:val="000000"/>
          <w:sz w:val="32"/>
          <w:szCs w:val="32"/>
        </w:rPr>
        <w:t>ยี่ยมผู้ป่วย ลดความแออัด ผู้ป่วยและญาติพึงพอใจ</w:t>
      </w:r>
      <w:r>
        <w:rPr>
          <w:rFonts w:ascii="TH SarabunPSK" w:hAnsi="TH SarabunPSK" w:cs="TH SarabunPSK"/>
          <w:b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โดยญาติสามารถเยี่ยมผู้ป่วยผ่านไลน์ โดยสามารถโทรไลน์ เข้า</w:t>
      </w:r>
      <w:r>
        <w:rPr>
          <w:rFonts w:cs="TH SarabunPSK" w:ascii="TH SarabunPSK" w:hAnsi="TH SarabunPSK"/>
          <w:color w:val="000000"/>
          <w:sz w:val="32"/>
          <w:szCs w:val="32"/>
        </w:rPr>
        <w:t>tablet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ของตึกในช่วงเวลาที่กำหนดและเปิด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Video call </w:t>
      </w:r>
      <w:r>
        <w:rPr>
          <w:rFonts w:ascii="TH SarabunPSK" w:hAnsi="TH SarabunPSK" w:cs="TH SarabunPSK"/>
          <w:color w:val="000000"/>
          <w:sz w:val="32"/>
          <w:szCs w:val="32"/>
        </w:rPr>
        <w:t>ให้ผู้ป่วยและญาติสามารถพูดุยกันได้ ตามกำหนดเวลา ญาติไม่ต้องเดินทางเข้ามาเยี่ยม  ถึงโรงพยาบาล ลดค่าใช้จ่าย ลดความแออัด ผู้ป่วยและญาติพึงพอใจ</w:t>
      </w:r>
    </w:p>
    <w:p>
      <w:pPr>
        <w:pStyle w:val="Normal"/>
        <w:spacing w:lineRule="auto" w:line="240" w:before="0" w:after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cs="TH SarabunPSK" w:ascii="TH SarabunPSK" w:hAnsi="TH SarabunPSK"/>
          <w:b/>
          <w:bCs/>
          <w:color w:val="000000"/>
          <w:sz w:val="32"/>
          <w:szCs w:val="32"/>
        </w:rPr>
      </w:r>
    </w:p>
    <w:tbl>
      <w:tblPr>
        <w:tblW w:w="1013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671"/>
        <w:gridCol w:w="1158"/>
        <w:gridCol w:w="1097"/>
        <w:gridCol w:w="1097"/>
        <w:gridCol w:w="1036"/>
        <w:gridCol w:w="975"/>
        <w:gridCol w:w="1097"/>
      </w:tblGrid>
      <w:tr>
        <w:trPr>
          <w:trHeight w:val="749" w:hRule="atLeast"/>
        </w:trPr>
        <w:tc>
          <w:tcPr>
            <w:tcW w:w="3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>ข้อมูล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/</w:t>
            </w: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ตัวชี้วัด </w:t>
            </w:r>
          </w:p>
        </w:tc>
        <w:tc>
          <w:tcPr>
            <w:tcW w:w="11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>เป้าหมาย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>ปีปัจจุบัน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2564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2565</w:t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2566</w:t>
            </w:r>
          </w:p>
        </w:tc>
        <w:tc>
          <w:tcPr>
            <w:tcW w:w="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2567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00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2568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</w:r>
          </w:p>
        </w:tc>
      </w:tr>
      <w:tr>
        <w:trPr>
          <w:trHeight w:val="368" w:hRule="atLeast"/>
        </w:trPr>
        <w:tc>
          <w:tcPr>
            <w:tcW w:w="3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pacing w:lineRule="auto" w:line="240" w:before="0" w:after="0"/>
              <w:ind w:hanging="360" w:start="360" w:end="0"/>
              <w:jc w:val="both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eastAsia="Calibri" w:cs="TH SarabunPSK" w:ascii="TH SarabunPSK" w:hAnsi="TH SarabunPSK"/>
                <w:b/>
                <w:bCs/>
                <w:color w:val="000000"/>
                <w:sz w:val="32"/>
                <w:szCs w:val="32"/>
                <w:highlight w:val="cyan"/>
                <w:u w:val="single"/>
              </w:rPr>
              <w:t xml:space="preserve">PCT </w:t>
            </w:r>
            <w:r>
              <w:rPr>
                <w:rFonts w:ascii="TH SarabunPSK" w:hAnsi="TH SarabunPSK" w:eastAsia="Calibri" w:cs="TH SarabunPSK"/>
                <w:b/>
                <w:b/>
                <w:bCs/>
                <w:color w:val="000000"/>
                <w:sz w:val="32"/>
                <w:szCs w:val="32"/>
                <w:highlight w:val="cyan"/>
                <w:u w:val="single"/>
              </w:rPr>
              <w:t>จิตเวช</w:t>
            </w:r>
          </w:p>
        </w:tc>
        <w:tc>
          <w:tcPr>
            <w:tcW w:w="11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eastAsia="Calibri" w:cs="TH SarabunPSK" w:ascii="TH SarabunPSK" w:hAnsi="TH SarabunPSK"/>
                <w:b/>
                <w:bCs/>
                <w:color w:val="000000"/>
                <w:sz w:val="32"/>
                <w:szCs w:val="32"/>
                <w:u w:val="single"/>
              </w:rPr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</w:tr>
      <w:tr>
        <w:trPr>
          <w:trHeight w:val="380" w:hRule="atLeast"/>
        </w:trPr>
        <w:tc>
          <w:tcPr>
            <w:tcW w:w="3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EE0000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color w:val="EE0000"/>
                <w:sz w:val="32"/>
                <w:szCs w:val="32"/>
              </w:rPr>
              <w:t>1.</w:t>
            </w:r>
            <w:r>
              <w:rPr>
                <w:rFonts w:ascii="TH SarabunPSK" w:hAnsi="TH SarabunPSK" w:eastAsia="Calibri" w:cs="TH SarabunPSK"/>
                <w:color w:val="EE0000"/>
                <w:sz w:val="32"/>
                <w:szCs w:val="32"/>
              </w:rPr>
              <w:t>อัตราความพึงพอใจผู้ป่วยนอก</w:t>
            </w:r>
          </w:p>
        </w:tc>
        <w:tc>
          <w:tcPr>
            <w:tcW w:w="11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TH SarabunPSK" w:ascii="TH SarabunPSK" w:hAnsi="TH SarabunPSK"/>
                <w:color w:val="EE0000"/>
                <w:sz w:val="32"/>
                <w:szCs w:val="32"/>
              </w:rPr>
              <w:t xml:space="preserve">≥ </w:t>
            </w:r>
            <w:r>
              <w:rPr>
                <w:rFonts w:ascii="TH SarabunPSK" w:hAnsi="TH SarabunPSK" w:eastAsia="Calibri" w:cs="TH SarabunPSK"/>
                <w:color w:val="EE0000"/>
                <w:sz w:val="32"/>
                <w:szCs w:val="32"/>
              </w:rPr>
              <w:t xml:space="preserve">ร้อยละ </w:t>
            </w:r>
            <w:r>
              <w:rPr>
                <w:rFonts w:eastAsia="Calibri" w:cs="TH SarabunPSK" w:ascii="TH SarabunPSK" w:hAnsi="TH SarabunPSK"/>
                <w:color w:val="EE0000"/>
                <w:sz w:val="32"/>
                <w:szCs w:val="32"/>
              </w:rPr>
              <w:t>85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EE0000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color w:val="EE0000"/>
                <w:sz w:val="32"/>
                <w:szCs w:val="32"/>
              </w:rPr>
              <w:t>96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EE0000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color w:val="EE0000"/>
                <w:sz w:val="32"/>
                <w:szCs w:val="32"/>
              </w:rPr>
              <w:t>95</w:t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EE0000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color w:val="EE0000"/>
                <w:sz w:val="32"/>
                <w:szCs w:val="32"/>
              </w:rPr>
              <w:t>97</w:t>
            </w:r>
          </w:p>
        </w:tc>
        <w:tc>
          <w:tcPr>
            <w:tcW w:w="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EE0000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color w:val="EE0000"/>
                <w:sz w:val="32"/>
                <w:szCs w:val="32"/>
              </w:rPr>
              <w:t>95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EE0000"/>
                <w:sz w:val="32"/>
                <w:szCs w:val="32"/>
                <w:lang w:val="en-GB"/>
              </w:rPr>
            </w:pPr>
            <w:r>
              <w:rPr>
                <w:rFonts w:eastAsia="Calibri" w:cs="TH SarabunPSK" w:ascii="TH SarabunPSK" w:hAnsi="TH SarabunPSK"/>
                <w:color w:val="EE0000"/>
                <w:sz w:val="32"/>
                <w:szCs w:val="32"/>
                <w:lang w:val="en-GB"/>
              </w:rPr>
              <w:t>96</w:t>
            </w:r>
          </w:p>
        </w:tc>
      </w:tr>
      <w:tr>
        <w:trPr>
          <w:trHeight w:val="368" w:hRule="atLeast"/>
        </w:trPr>
        <w:tc>
          <w:tcPr>
            <w:tcW w:w="3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EE0000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color w:val="EE0000"/>
                <w:sz w:val="32"/>
                <w:szCs w:val="32"/>
              </w:rPr>
              <w:t>2.</w:t>
            </w:r>
            <w:r>
              <w:rPr>
                <w:rFonts w:ascii="TH SarabunPSK" w:hAnsi="TH SarabunPSK" w:eastAsia="Calibri" w:cs="TH SarabunPSK"/>
                <w:color w:val="EE0000"/>
                <w:sz w:val="32"/>
                <w:szCs w:val="32"/>
              </w:rPr>
              <w:t>อัตราความพึงพอใจผู้ป่วยใน</w:t>
            </w:r>
          </w:p>
        </w:tc>
        <w:tc>
          <w:tcPr>
            <w:tcW w:w="11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TH SarabunPSK" w:ascii="TH SarabunPSK" w:hAnsi="TH SarabunPSK"/>
                <w:color w:val="EE0000"/>
                <w:sz w:val="32"/>
                <w:szCs w:val="32"/>
              </w:rPr>
              <w:t xml:space="preserve">≥ </w:t>
            </w:r>
            <w:r>
              <w:rPr>
                <w:rFonts w:ascii="TH SarabunPSK" w:hAnsi="TH SarabunPSK" w:eastAsia="Calibri" w:cs="TH SarabunPSK"/>
                <w:color w:val="EE0000"/>
                <w:sz w:val="32"/>
                <w:szCs w:val="32"/>
              </w:rPr>
              <w:t xml:space="preserve">ร้อยละ </w:t>
            </w:r>
            <w:r>
              <w:rPr>
                <w:rFonts w:eastAsia="Calibri" w:cs="TH SarabunPSK" w:ascii="TH SarabunPSK" w:hAnsi="TH SarabunPSK"/>
                <w:color w:val="EE0000"/>
                <w:sz w:val="32"/>
                <w:szCs w:val="32"/>
              </w:rPr>
              <w:t>85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color w:val="FF0000"/>
                <w:sz w:val="32"/>
                <w:szCs w:val="32"/>
              </w:rPr>
              <w:t>96.50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color w:val="FF0000"/>
                <w:sz w:val="32"/>
                <w:szCs w:val="32"/>
              </w:rPr>
              <w:t>96.60</w:t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color w:val="FF0000"/>
                <w:sz w:val="32"/>
                <w:szCs w:val="32"/>
              </w:rPr>
              <w:t>95.86</w:t>
            </w:r>
          </w:p>
        </w:tc>
        <w:tc>
          <w:tcPr>
            <w:tcW w:w="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color w:val="FF0000"/>
                <w:sz w:val="32"/>
                <w:szCs w:val="32"/>
              </w:rPr>
              <w:t>95.65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color w:val="FF0000"/>
                <w:sz w:val="32"/>
                <w:szCs w:val="32"/>
              </w:rPr>
              <w:t>96.78</w:t>
            </w:r>
          </w:p>
        </w:tc>
      </w:tr>
      <w:tr>
        <w:trPr>
          <w:trHeight w:val="380" w:hRule="atLeast"/>
        </w:trPr>
        <w:tc>
          <w:tcPr>
            <w:tcW w:w="3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3.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>ระยะเวลารอคอยผู้ป่วยนอก</w:t>
            </w:r>
          </w:p>
        </w:tc>
        <w:tc>
          <w:tcPr>
            <w:tcW w:w="11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 xml:space="preserve">‹ 120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>นาที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100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95</w:t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00" w:val="clear"/>
          </w:tcPr>
          <w:p>
            <w:pPr>
              <w:pStyle w:val="Normal"/>
              <w:tabs>
                <w:tab w:val="clear" w:pos="720"/>
                <w:tab w:val="left" w:pos="1155" w:leader="none"/>
              </w:tabs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NA</w:t>
            </w:r>
          </w:p>
        </w:tc>
        <w:tc>
          <w:tcPr>
            <w:tcW w:w="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00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NA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00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NA</w:t>
            </w:r>
          </w:p>
        </w:tc>
      </w:tr>
      <w:tr>
        <w:trPr>
          <w:trHeight w:val="368" w:hRule="atLeast"/>
        </w:trPr>
        <w:tc>
          <w:tcPr>
            <w:tcW w:w="3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TH SarabunPSK" w:cs="TH SarabunPSK" w:ascii="TH SarabunPSK" w:hAnsi="TH SarabunPSK"/>
                <w:sz w:val="32"/>
                <w:szCs w:val="32"/>
              </w:rPr>
              <w:t>4.</w:t>
            </w:r>
            <w:r>
              <w:rPr>
                <w:rFonts w:ascii="TH SarabunPSK" w:hAnsi="TH SarabunPSK" w:eastAsia="CordiaUPC" w:cs="TH SarabunPSK"/>
                <w:sz w:val="32"/>
                <w:szCs w:val="32"/>
              </w:rPr>
              <w:t>อัตราผู้ป่วยมีพฤติกรรมรุนแรงทางคำพูด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TH SarabunPSK" w:cs="TH SarabunPSK" w:ascii="TH SarabunPSK" w:hAnsi="TH SarabunPSK"/>
                <w:b/>
                <w:sz w:val="32"/>
                <w:szCs w:val="32"/>
              </w:rPr>
              <w:t>&lt;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ร้อยละ</w:t>
            </w:r>
            <w:r>
              <w:rPr>
                <w:rFonts w:ascii="TH SarabunPSK" w:hAnsi="TH SarabunPSK" w:eastAsia="TH SarabunPSK" w:cs="TH SarabunPSK"/>
                <w:b/>
                <w:b/>
                <w:sz w:val="32"/>
                <w:szCs w:val="32"/>
              </w:rPr>
              <w:t xml:space="preserve"> </w:t>
            </w:r>
            <w:r>
              <w:rPr>
                <w:rFonts w:eastAsia="TH SarabunPSK" w:cs="TH SarabunPSK" w:ascii="TH SarabunPSK" w:hAnsi="TH SarabunPSK"/>
                <w:b/>
                <w:sz w:val="32"/>
                <w:szCs w:val="32"/>
              </w:rPr>
              <w:t xml:space="preserve">25  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28.05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27.27</w:t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23.99</w:t>
            </w:r>
          </w:p>
        </w:tc>
        <w:tc>
          <w:tcPr>
            <w:tcW w:w="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26.8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25.4</w:t>
            </w:r>
          </w:p>
        </w:tc>
      </w:tr>
      <w:tr>
        <w:trPr>
          <w:trHeight w:val="368" w:hRule="atLeast"/>
        </w:trPr>
        <w:tc>
          <w:tcPr>
            <w:tcW w:w="3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TH SarabunPSK" w:cs="TH SarabunPSK" w:ascii="TH SarabunPSK" w:hAnsi="TH SarabunPSK"/>
                <w:sz w:val="32"/>
                <w:szCs w:val="32"/>
              </w:rPr>
              <w:t>5.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>จำนวนครั้ง</w:t>
            </w:r>
            <w:r>
              <w:rPr>
                <w:rFonts w:ascii="TH SarabunPSK" w:hAnsi="TH SarabunPSK" w:eastAsia="CordiaUPC" w:cs="TH SarabunPSK"/>
                <w:sz w:val="32"/>
                <w:szCs w:val="32"/>
              </w:rPr>
              <w:t>ผู้ป่วยทำร้ายตนเองสำเร็จ</w:t>
            </w:r>
          </w:p>
        </w:tc>
        <w:tc>
          <w:tcPr>
            <w:tcW w:w="11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TH SarabunPSK" w:cs="TH SarabunPSK" w:ascii="TH SarabunPSK" w:hAnsi="TH SarabunPSK"/>
                <w:b/>
                <w:sz w:val="32"/>
                <w:szCs w:val="32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0</w:t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0</w:t>
            </w:r>
          </w:p>
        </w:tc>
      </w:tr>
      <w:tr>
        <w:trPr>
          <w:trHeight w:val="380" w:hRule="atLeast"/>
        </w:trPr>
        <w:tc>
          <w:tcPr>
            <w:tcW w:w="3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eastAsia="TH SarabunPSK" w:cs="TH SarabunPSK" w:ascii="TH SarabunPSK" w:hAnsi="TH SarabunPSK"/>
                <w:sz w:val="32"/>
                <w:szCs w:val="32"/>
              </w:rPr>
              <w:t>6.</w:t>
            </w:r>
            <w:r>
              <w:rPr>
                <w:rFonts w:ascii="TH SarabunPSK" w:hAnsi="TH SarabunPSK" w:eastAsia="CordiaUPC" w:cs="TH SarabunPSK"/>
                <w:sz w:val="32"/>
                <w:szCs w:val="32"/>
              </w:rPr>
              <w:t>อัตราผู้ป่วยทำร้ายบุคคลอื่น</w:t>
            </w:r>
          </w:p>
        </w:tc>
        <w:tc>
          <w:tcPr>
            <w:tcW w:w="11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TH SarabunPSK" w:cs="TH SarabunPSK"/>
                <w:b/>
                <w:sz w:val="32"/>
                <w:szCs w:val="32"/>
              </w:rPr>
            </w:pPr>
            <w:r>
              <w:rPr>
                <w:rFonts w:eastAsia="TH SarabunPSK" w:cs="TH SarabunPSK" w:ascii="TH SarabunPSK" w:hAnsi="TH SarabunPSK"/>
                <w:b/>
                <w:sz w:val="32"/>
                <w:szCs w:val="32"/>
              </w:rPr>
              <w:t>&lt;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ร้อยละ</w:t>
            </w:r>
            <w:r>
              <w:rPr>
                <w:rFonts w:eastAsia="TH SarabunPSK" w:cs="TH SarabunPSK" w:ascii="TH SarabunPSK" w:hAnsi="TH SarabunPSK"/>
                <w:b/>
                <w:sz w:val="32"/>
                <w:szCs w:val="32"/>
              </w:rPr>
              <w:t>5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5.2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3.1</w:t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2.48</w:t>
            </w:r>
          </w:p>
        </w:tc>
        <w:tc>
          <w:tcPr>
            <w:tcW w:w="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2.47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2.1</w:t>
            </w:r>
          </w:p>
        </w:tc>
      </w:tr>
      <w:tr>
        <w:trPr>
          <w:trHeight w:val="368" w:hRule="atLeast"/>
        </w:trPr>
        <w:tc>
          <w:tcPr>
            <w:tcW w:w="3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eastAsia="TH SarabunPSK" w:cs="TH SarabunPSK" w:ascii="TH SarabunPSK" w:hAnsi="TH SarabunPSK"/>
                <w:sz w:val="32"/>
                <w:szCs w:val="32"/>
              </w:rPr>
              <w:t>7.</w:t>
            </w:r>
            <w:r>
              <w:rPr>
                <w:rFonts w:ascii="TH SarabunPSK" w:hAnsi="TH SarabunPSK" w:eastAsia="CordiaUPC" w:cs="TH SarabunPSK"/>
                <w:sz w:val="32"/>
                <w:szCs w:val="32"/>
              </w:rPr>
              <w:t>อัตราผู้ป่วยทำลายสิ่งของ</w:t>
            </w:r>
          </w:p>
        </w:tc>
        <w:tc>
          <w:tcPr>
            <w:tcW w:w="11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TH SarabunPSK" w:cs="TH SarabunPSK"/>
                <w:b/>
                <w:sz w:val="32"/>
                <w:szCs w:val="32"/>
              </w:rPr>
            </w:pPr>
            <w:r>
              <w:rPr>
                <w:rFonts w:eastAsia="TH SarabunPSK" w:cs="TH SarabunPSK" w:ascii="TH SarabunPSK" w:hAnsi="TH SarabunPSK"/>
                <w:b/>
                <w:sz w:val="32"/>
                <w:szCs w:val="32"/>
              </w:rPr>
              <w:t>&lt;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ร้อยละ</w:t>
            </w:r>
            <w:r>
              <w:rPr>
                <w:rFonts w:eastAsia="TH SarabunPSK" w:cs="TH SarabunPSK" w:ascii="TH SarabunPSK" w:hAnsi="TH SarabunPSK"/>
                <w:b/>
                <w:sz w:val="32"/>
                <w:szCs w:val="32"/>
              </w:rPr>
              <w:t>5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1.2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0.17</w:t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0.3</w:t>
            </w:r>
          </w:p>
        </w:tc>
        <w:tc>
          <w:tcPr>
            <w:tcW w:w="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0.77</w:t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0.5</w:t>
            </w:r>
          </w:p>
        </w:tc>
      </w:tr>
      <w:tr>
        <w:trPr>
          <w:trHeight w:val="368" w:hRule="atLeast"/>
        </w:trPr>
        <w:tc>
          <w:tcPr>
            <w:tcW w:w="3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TH SarabunPSK" w:cs="TH SarabunPSK"/>
                <w:b/>
                <w:sz w:val="32"/>
                <w:szCs w:val="32"/>
              </w:rPr>
            </w:pPr>
            <w:r>
              <w:rPr>
                <w:rFonts w:eastAsia="TH SarabunPSK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1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TH SarabunPSK" w:cs="TH SarabunPSK"/>
                <w:b/>
                <w:sz w:val="32"/>
                <w:szCs w:val="32"/>
              </w:rPr>
            </w:pPr>
            <w:r>
              <w:rPr>
                <w:rFonts w:eastAsia="TH SarabunPSK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b/>
                <w:sz w:val="32"/>
                <w:szCs w:val="32"/>
              </w:rPr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</w:tr>
    </w:tbl>
    <w:p>
      <w:pPr>
        <w:pStyle w:val="Normal"/>
        <w:autoSpaceDE w:val="false"/>
        <w:spacing w:lineRule="auto" w:line="240" w:before="0" w:after="0"/>
        <w:ind w:start="644" w:end="0"/>
        <w:jc w:val="both"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b/>
          <w:bCs/>
          <w:color w:val="000000"/>
          <w:sz w:val="32"/>
          <w:szCs w:val="32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b/>
          <w:bCs/>
          <w:color w:val="000000"/>
          <w:sz w:val="32"/>
          <w:szCs w:val="32"/>
        </w:rPr>
      </w:r>
    </w:p>
    <w:p>
      <w:pPr>
        <w:pStyle w:val="Normal"/>
        <w:autoSpaceDE w:val="false"/>
        <w:spacing w:lineRule="auto" w:line="240" w:before="0" w:after="0"/>
        <w:jc w:val="both"/>
        <w:rPr/>
      </w:pPr>
      <w:r>
        <w:rPr>
          <w:rFonts w:ascii="TH SarabunPSK" w:hAnsi="TH SarabunPSK" w:eastAsia="Calibri" w:cs="TH SarabunPSK"/>
          <w:b/>
          <w:b/>
          <w:bCs/>
          <w:color w:val="000000"/>
          <w:sz w:val="32"/>
          <w:szCs w:val="32"/>
        </w:rPr>
        <w:t xml:space="preserve">การฟื้นฟูสภาพ </w:t>
      </w:r>
    </w:p>
    <w:p>
      <w:pPr>
        <w:pStyle w:val="Normal"/>
        <w:numPr>
          <w:ilvl w:val="0"/>
          <w:numId w:val="3"/>
        </w:numPr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color w:val="000000"/>
          <w:sz w:val="32"/>
          <w:szCs w:val="32"/>
        </w:rPr>
        <w:t>การพัฒนาเครือข่ายการดูแลจิตเวช</w:t>
      </w:r>
    </w:p>
    <w:p>
      <w:pPr>
        <w:pStyle w:val="Normal"/>
        <w:numPr>
          <w:ilvl w:val="0"/>
          <w:numId w:val="3"/>
        </w:numPr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color w:val="000000"/>
          <w:sz w:val="32"/>
          <w:szCs w:val="32"/>
        </w:rPr>
        <w:t>พัฒนาระบบการส่งต่องานฟื้นฟูสภาพ เครือข่าย</w:t>
      </w:r>
    </w:p>
    <w:p>
      <w:pPr>
        <w:pStyle w:val="Normal"/>
        <w:numPr>
          <w:ilvl w:val="0"/>
          <w:numId w:val="3"/>
        </w:numPr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color w:val="000000"/>
          <w:sz w:val="32"/>
          <w:szCs w:val="32"/>
        </w:rPr>
        <w:t>การเปิดมินิธัญญรักษ์ผู้ติดสารเสพติดระยะกลางและระยะยาว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b/>
          <w:b/>
          <w:bCs/>
          <w:color w:val="000000"/>
          <w:sz w:val="32"/>
          <w:szCs w:val="32"/>
        </w:rPr>
        <w:t xml:space="preserve">การให้ข้อมูลเสริมพลัง </w:t>
      </w:r>
    </w:p>
    <w:p>
      <w:pPr>
        <w:pStyle w:val="Normal"/>
        <w:autoSpaceDE w:val="false"/>
        <w:spacing w:lineRule="auto" w:line="240" w:before="0" w:after="0"/>
        <w:ind w:firstLine="284" w:end="0"/>
        <w:jc w:val="both"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เพื่อให้กลุ่มผู้ปกครองเด็กสมาธิสั้น ผู้ป่วยและครอบครัวผู้ป่วยโรคซึมเศร้า ผู้ที่พยายามฆ่าตัวตาย ผู้ติดสุราและสารเสพติด และผู้ป่วย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SMIV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ได้มีความเข้าใจเรื่องโรค แนวทางการรักษา จะได้ให้ความร่วมมือในการักษา ได้จัดให้มี การให้คำปรึกษาเชิงลึก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(counseling)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โดยนักจิตวิทยา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/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พยาบาล จัดกลุ่มให้ความรู้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(Group Education)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สร้างเครือข่ายครอบครัวผู้ดูแล </w:t>
      </w:r>
      <w:r>
        <w:rPr>
          <w:rFonts w:cs="TH SarabunPSK" w:ascii="TH SarabunPSK" w:hAnsi="TH SarabunPSK"/>
          <w:color w:val="000000"/>
          <w:sz w:val="32"/>
          <w:szCs w:val="32"/>
        </w:rPr>
        <w:t>(Family Support Network)</w:t>
      </w:r>
      <w:r>
        <w:rPr>
          <w:rFonts w:ascii="TH SarabunPSK" w:hAnsi="TH SarabunPSK" w:cs="TH SarabunPSK"/>
          <w:color w:val="000000"/>
          <w:sz w:val="32"/>
          <w:szCs w:val="32"/>
        </w:rPr>
        <w:t>เชื่อมต่อผู้ป่วยกับกลุ่มบำบัด เช่น ชุมชนบำบัด  ทำให้ผู้ป่วยและครอบครัวมีความรู้ความเข้าใจสามารถดูแลตนเองและครอบครัว</w:t>
      </w:r>
    </w:p>
    <w:p>
      <w:pPr>
        <w:pStyle w:val="Normal"/>
        <w:numPr>
          <w:ilvl w:val="0"/>
          <w:numId w:val="3"/>
        </w:numPr>
        <w:autoSpaceDE w:val="false"/>
        <w:spacing w:lineRule="auto" w:line="240" w:before="0" w:after="3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การจัดกิจกรรมปรับเปลี่ยนพฤติกรรมในศูนย์เรียนรู้ผู้ป่วยโรคเรื้อรัง </w:t>
      </w:r>
    </w:p>
    <w:p>
      <w:pPr>
        <w:pStyle w:val="Normal"/>
        <w:numPr>
          <w:ilvl w:val="0"/>
          <w:numId w:val="3"/>
        </w:numPr>
        <w:autoSpaceDE w:val="false"/>
        <w:spacing w:lineRule="auto" w:line="240" w:before="0" w:after="3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การจัดกิจกรรมกระตุ้นพัฒนาการเด็กในคลินิกกระตุ้นพัฒนาการ </w:t>
      </w:r>
    </w:p>
    <w:p>
      <w:pPr>
        <w:pStyle w:val="Normal"/>
        <w:numPr>
          <w:ilvl w:val="0"/>
          <w:numId w:val="3"/>
        </w:numPr>
        <w:autoSpaceDE w:val="false"/>
        <w:spacing w:lineRule="auto" w:line="240" w:before="0" w:after="3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การจัดกิจกรรมบาบัดฟื้นฟูผู้ติดสารเสพติดโดยชุมชนมีส่วนร่วม </w:t>
      </w:r>
    </w:p>
    <w:p>
      <w:pPr>
        <w:pStyle w:val="Normal"/>
        <w:numPr>
          <w:ilvl w:val="0"/>
          <w:numId w:val="3"/>
        </w:numPr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การดาเนินงานของทีม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MCATT </w:t>
      </w:r>
    </w:p>
    <w:tbl>
      <w:tblPr>
        <w:tblW w:w="1005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645"/>
        <w:gridCol w:w="1150"/>
        <w:gridCol w:w="1089"/>
        <w:gridCol w:w="1089"/>
        <w:gridCol w:w="1029"/>
        <w:gridCol w:w="968"/>
        <w:gridCol w:w="1089"/>
      </w:tblGrid>
      <w:tr>
        <w:trPr>
          <w:trHeight w:val="743" w:hRule="atLeast"/>
        </w:trPr>
        <w:tc>
          <w:tcPr>
            <w:tcW w:w="3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>ข้อมูล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/</w:t>
            </w: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ตัวชี้วัด </w:t>
            </w:r>
          </w:p>
        </w:tc>
        <w:tc>
          <w:tcPr>
            <w:tcW w:w="1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>เป้าหมาย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>ปีปัจจุบัน</w:t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2564</w:t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2565</w:t>
            </w:r>
          </w:p>
        </w:tc>
        <w:tc>
          <w:tcPr>
            <w:tcW w:w="1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2566</w:t>
            </w:r>
          </w:p>
        </w:tc>
        <w:tc>
          <w:tcPr>
            <w:tcW w:w="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2567</w:t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00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2568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</w:r>
          </w:p>
        </w:tc>
      </w:tr>
      <w:tr>
        <w:trPr>
          <w:trHeight w:val="365" w:hRule="atLeast"/>
        </w:trPr>
        <w:tc>
          <w:tcPr>
            <w:tcW w:w="3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highlight w:val="cyan"/>
                <w:u w:val="single"/>
              </w:rPr>
            </w:pPr>
            <w:r>
              <w:rPr>
                <w:rFonts w:eastAsia="Calibri" w:cs="TH SarabunPSK" w:ascii="TH SarabunPSK" w:hAnsi="TH SarabunPSK"/>
                <w:b/>
                <w:bCs/>
                <w:color w:val="000000"/>
                <w:sz w:val="32"/>
                <w:szCs w:val="32"/>
                <w:highlight w:val="cyan"/>
                <w:u w:val="single"/>
              </w:rPr>
              <w:t xml:space="preserve">PCT </w:t>
            </w:r>
            <w:r>
              <w:rPr>
                <w:rFonts w:ascii="TH SarabunPSK" w:hAnsi="TH SarabunPSK" w:eastAsia="Calibri" w:cs="TH SarabunPSK"/>
                <w:b/>
                <w:b/>
                <w:bCs/>
                <w:color w:val="000000"/>
                <w:sz w:val="32"/>
                <w:szCs w:val="32"/>
                <w:highlight w:val="cyan"/>
                <w:u w:val="single"/>
              </w:rPr>
              <w:t>จิตเวช</w:t>
            </w:r>
          </w:p>
        </w:tc>
        <w:tc>
          <w:tcPr>
            <w:tcW w:w="1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highlight w:val="cyan"/>
                <w:u w:val="single"/>
              </w:rPr>
            </w:pPr>
            <w:r>
              <w:rPr>
                <w:rFonts w:eastAsia="Calibri" w:cs="TH SarabunPSK" w:ascii="TH SarabunPSK" w:hAnsi="TH SarabunPSK"/>
                <w:b/>
                <w:bCs/>
                <w:sz w:val="32"/>
                <w:szCs w:val="32"/>
                <w:highlight w:val="cyan"/>
                <w:u w:val="single"/>
              </w:rPr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b/>
                <w:bCs/>
                <w:sz w:val="32"/>
                <w:szCs w:val="32"/>
              </w:rPr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b/>
                <w:bCs/>
                <w:sz w:val="32"/>
                <w:szCs w:val="32"/>
              </w:rPr>
            </w:r>
          </w:p>
        </w:tc>
        <w:tc>
          <w:tcPr>
            <w:tcW w:w="1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b/>
                <w:bCs/>
                <w:sz w:val="32"/>
                <w:szCs w:val="32"/>
              </w:rPr>
            </w:r>
          </w:p>
        </w:tc>
        <w:tc>
          <w:tcPr>
            <w:tcW w:w="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b/>
                <w:bCs/>
                <w:sz w:val="32"/>
                <w:szCs w:val="32"/>
              </w:rPr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b/>
                <w:bCs/>
                <w:sz w:val="32"/>
                <w:szCs w:val="32"/>
              </w:rPr>
            </w:r>
          </w:p>
        </w:tc>
      </w:tr>
      <w:tr>
        <w:trPr>
          <w:trHeight w:val="852" w:hRule="atLeast"/>
        </w:trPr>
        <w:tc>
          <w:tcPr>
            <w:tcW w:w="3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1.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>อัตราการได้รับการได้รับสุขภาพจิตศึกษาของผู้ป่วยกลุ่มเป้าหมาย</w:t>
            </w:r>
          </w:p>
        </w:tc>
        <w:tc>
          <w:tcPr>
            <w:tcW w:w="1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100%</w:t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100</w:t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100</w:t>
            </w:r>
          </w:p>
        </w:tc>
        <w:tc>
          <w:tcPr>
            <w:tcW w:w="1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100</w:t>
            </w:r>
          </w:p>
        </w:tc>
        <w:tc>
          <w:tcPr>
            <w:tcW w:w="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100</w:t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100</w:t>
            </w:r>
          </w:p>
        </w:tc>
      </w:tr>
      <w:tr>
        <w:trPr>
          <w:trHeight w:val="365" w:hRule="atLeast"/>
        </w:trPr>
        <w:tc>
          <w:tcPr>
            <w:tcW w:w="3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</w:tr>
    </w:tbl>
    <w:p>
      <w:pPr>
        <w:pStyle w:val="Normal"/>
        <w:autoSpaceDE w:val="false"/>
        <w:spacing w:lineRule="auto" w:line="240" w:before="0" w:after="0"/>
        <w:ind w:start="284" w:end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</w:r>
    </w:p>
    <w:p>
      <w:pPr>
        <w:pStyle w:val="Normal"/>
        <w:autoSpaceDE w:val="false"/>
        <w:spacing w:lineRule="auto" w:line="240" w:before="0" w:after="0"/>
        <w:ind w:start="644" w:end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b/>
          <w:b/>
          <w:bCs/>
          <w:color w:val="000000"/>
          <w:sz w:val="32"/>
          <w:szCs w:val="32"/>
        </w:rPr>
        <w:t xml:space="preserve">การดูแลต่อเนื่อง 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b/>
          <w:bCs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>เพื่อให้ผู้ป่วยจิตเวชได้รับการดูแลต่อเนื่องอย่างมีคุณภาพ ลดการกลับมารักษาซ้ำ และเสริมศักยภาพในการดูแลตนเองในระยะยาว มีการวางแผนการดูแลต่อเนื่องตั้งแต่แรกรับ ร่วมกับทีมสหสาขาวิชาชีพ ประเมินความพร้อมก่อนจำหน่าย ทดลองเยี่ยมบ้าน ประสานงานกับ รพช</w:t>
      </w:r>
      <w:r>
        <w:rPr>
          <w:rFonts w:cs="TH SarabunPSK" w:ascii="TH SarabunPSK" w:hAnsi="TH SarabunPSK"/>
          <w:color w:val="000000"/>
          <w:sz w:val="32"/>
          <w:szCs w:val="32"/>
        </w:rPr>
        <w:t>./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พยาบาลจิตเวชชุมชนผ่าน </w:t>
      </w:r>
      <w:r>
        <w:rPr>
          <w:rFonts w:cs="TH SarabunPSK" w:ascii="TH SarabunPSK" w:hAnsi="TH SarabunPSK"/>
          <w:color w:val="000000"/>
          <w:sz w:val="32"/>
          <w:szCs w:val="32"/>
        </w:rPr>
        <w:t xml:space="preserve">Line app </w:t>
      </w:r>
      <w:r>
        <w:rPr>
          <w:rFonts w:ascii="TH SarabunPSK" w:hAnsi="TH SarabunPSK" w:cs="TH SarabunPSK"/>
          <w:color w:val="000000"/>
          <w:sz w:val="32"/>
          <w:szCs w:val="32"/>
        </w:rPr>
        <w:t>มีระบบเยี่ยมบ้านและติดตามอาการหลังจำหน่าย รวมถึงการส่งต่อข้อมูลเพื่อการดูแลต่อเนื่อง ทำให้ผู้ป่วยได้รับการติดตามดูแลหลังจำหน่ายอย่างมีประสิทธิภาพ อัตราการกลับมารักษาซ้ำโดยไม่ได้นัดลดลง และผู้ป่วยสามารถใช้ชีวิตในชุมชนได้ยาวนานขึ้นอย่างปลอดภัย</w:t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TH SarabunPSK" w:cs="TH SarabunPSK"/>
          <w:color w:val="000000"/>
          <w:sz w:val="32"/>
          <w:szCs w:val="32"/>
        </w:rPr>
      </w:pPr>
      <w:r>
        <w:rPr>
          <w:rFonts w:eastAsia="TH SarabunPSK" w:cs="TH SarabunPSK" w:ascii="TH SarabunPSK" w:hAnsi="TH SarabunPSK"/>
          <w:color w:val="000000"/>
          <w:sz w:val="32"/>
          <w:szCs w:val="32"/>
        </w:rPr>
        <w:t xml:space="preserve">        </w:t>
      </w:r>
      <w:r>
        <w:rPr>
          <w:rFonts w:ascii="TH SarabunPSK" w:hAnsi="TH SarabunPSK" w:eastAsia="CordiaUPC" w:cs="TH SarabunPSK"/>
          <w:color w:val="000000"/>
          <w:sz w:val="32"/>
          <w:szCs w:val="32"/>
        </w:rPr>
        <w:t>ดำเนินการสอนทักษะแก่ญาติและผู้ป่วยเพื่อดูแลตัวเองหลังจากกลับบ้านและดำเนินโครงการ</w:t>
      </w:r>
      <w:r>
        <w:rPr>
          <w:rFonts w:ascii="TH SarabunPSK" w:hAnsi="TH SarabunPSK" w:eastAsia="TH SarabunPSK" w:cs="TH SarabunPSK"/>
          <w:color w:val="000000"/>
          <w:sz w:val="32"/>
          <w:szCs w:val="32"/>
        </w:rPr>
        <w:t xml:space="preserve">  </w:t>
      </w:r>
      <w:r>
        <w:rPr>
          <w:rFonts w:eastAsia="TH SarabunPSK" w:cs="TH SarabunPSK" w:ascii="TH SarabunPSK" w:hAnsi="TH SarabunPSK"/>
          <w:color w:val="000000"/>
          <w:sz w:val="32"/>
          <w:szCs w:val="32"/>
        </w:rPr>
        <w:t xml:space="preserve">Home  health  care  </w:t>
      </w:r>
      <w:r>
        <w:rPr>
          <w:rFonts w:ascii="TH SarabunPSK" w:hAnsi="TH SarabunPSK" w:eastAsia="CordiaUPC" w:cs="TH SarabunPSK"/>
          <w:color w:val="000000"/>
          <w:sz w:val="32"/>
          <w:szCs w:val="32"/>
        </w:rPr>
        <w:t>ในผู้ป่วยจิตเวช</w:t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TH SarabunPSK" w:cs="TH SarabunPSK"/>
          <w:color w:val="000000"/>
          <w:sz w:val="32"/>
          <w:szCs w:val="32"/>
        </w:rPr>
      </w:pPr>
      <w:r>
        <w:rPr>
          <w:rFonts w:eastAsia="TH SarabunPSK" w:cs="TH SarabunPSK" w:ascii="TH SarabunPSK" w:hAnsi="TH SarabunPSK"/>
          <w:color w:val="000000"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b/>
          <w:b/>
          <w:bCs/>
          <w:color w:val="000000"/>
          <w:sz w:val="32"/>
          <w:szCs w:val="32"/>
          <w:u w:val="single"/>
        </w:rPr>
        <w:t>ผลการพัฒนาที่โดดเด่นและภาคภูมิใจ</w:t>
      </w:r>
    </w:p>
    <w:p>
      <w:pPr>
        <w:pStyle w:val="Normal"/>
        <w:spacing w:lineRule="auto" w:line="240" w:before="0" w:after="0"/>
        <w:ind w:hanging="309" w:start="309" w:end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eastAsia="Calibri" w:cs="TH SarabunPSK" w:ascii="TH SarabunPSK" w:hAnsi="TH SarabunPSK"/>
          <w:color w:val="000000"/>
          <w:sz w:val="32"/>
          <w:szCs w:val="32"/>
        </w:rPr>
        <w:t>1.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โครงการพัฒนารูปแบบการลดความรุนแรงผู้ใช้สารเสพติดที่มีอาการทางจิตเวชแบบบูรณาการและมีส่วนร่วมในจ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>.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ร้อยเอ็ด</w:t>
      </w:r>
    </w:p>
    <w:p>
      <w:pPr>
        <w:pStyle w:val="Normal"/>
        <w:spacing w:lineRule="auto" w:line="240" w:before="0" w:after="0"/>
        <w:ind w:hanging="309" w:start="309" w:end="0"/>
        <w:jc w:val="both"/>
        <w:rPr/>
      </w:pP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2.Best Practice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รางวัลชนะเลิศ กิจกรรมพัฒนาคุณภาพ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 xml:space="preserve">CQI 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>โรงพยาบาลร้อยเอ็ด พ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>.</w:t>
      </w:r>
      <w:r>
        <w:rPr>
          <w:rFonts w:ascii="TH SarabunPSK" w:hAnsi="TH SarabunPSK" w:eastAsia="Calibri" w:cs="TH SarabunPSK"/>
          <w:color w:val="000000"/>
          <w:sz w:val="32"/>
          <w:szCs w:val="32"/>
        </w:rPr>
        <w:t xml:space="preserve">ศ </w:t>
      </w:r>
      <w:r>
        <w:rPr>
          <w:rFonts w:eastAsia="Calibri" w:cs="TH SarabunPSK" w:ascii="TH SarabunPSK" w:hAnsi="TH SarabunPSK"/>
          <w:color w:val="000000"/>
          <w:sz w:val="32"/>
          <w:szCs w:val="32"/>
        </w:rPr>
        <w:t>2567</w:t>
      </w:r>
    </w:p>
    <w:p>
      <w:pPr>
        <w:pStyle w:val="Normal"/>
        <w:spacing w:lineRule="auto" w:line="240" w:before="0" w:after="0"/>
        <w:ind w:hanging="309" w:start="309" w:end="0"/>
        <w:jc w:val="both"/>
        <w:rPr>
          <w:rFonts w:ascii="TH SarabunPSK" w:hAnsi="TH SarabunPSK" w:eastAsia="Calibri" w:cs="TH SarabunPSK"/>
          <w:color w:val="000000"/>
          <w:sz w:val="32"/>
          <w:szCs w:val="32"/>
        </w:rPr>
      </w:pPr>
      <w:r>
        <w:rPr>
          <w:rFonts w:ascii="TH SarabunPSK" w:hAnsi="TH SarabunPSK" w:eastAsia="Calibri" w:cs="TH SarabunPSK"/>
          <w:color w:val="000000"/>
          <w:sz w:val="32"/>
          <w:szCs w:val="32"/>
        </w:rPr>
        <w:t>ชื่อผลงาน “ชุมชนล้อมรักษ์” บำบัดฟื้นฟูผู้ใช้ยาเสพติดโดยการมีส่วนร่วมของชุมชน ตำบลหนองแวง    อำเภอเมืองร้อยเอ็ด จังหวัดร้อยเอ็ด</w:t>
      </w:r>
    </w:p>
    <w:tbl>
      <w:tblPr>
        <w:tblW w:w="985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571"/>
        <w:gridCol w:w="1127"/>
        <w:gridCol w:w="1067"/>
        <w:gridCol w:w="1067"/>
        <w:gridCol w:w="1008"/>
        <w:gridCol w:w="949"/>
        <w:gridCol w:w="1067"/>
      </w:tblGrid>
      <w:tr>
        <w:trPr>
          <w:trHeight w:val="890" w:hRule="atLeast"/>
        </w:trPr>
        <w:tc>
          <w:tcPr>
            <w:tcW w:w="3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>ข้อมูล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/</w:t>
            </w: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ตัวชี้วัด </w:t>
            </w:r>
          </w:p>
        </w:tc>
        <w:tc>
          <w:tcPr>
            <w:tcW w:w="1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>เป้าหมาย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>ปีปัจจุบัน</w:t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2564</w:t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2565</w:t>
            </w:r>
          </w:p>
        </w:tc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2566</w:t>
            </w:r>
          </w:p>
        </w:tc>
        <w:tc>
          <w:tcPr>
            <w:tcW w:w="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2567</w:t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00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/>
                <w:bCs/>
                <w:color w:val="3333CC"/>
                <w:sz w:val="32"/>
                <w:szCs w:val="32"/>
              </w:rPr>
              <w:t xml:space="preserve">ปี </w:t>
            </w: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  <w:t>2568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3333CC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b/>
                <w:bCs/>
                <w:color w:val="3333CC"/>
                <w:sz w:val="32"/>
                <w:szCs w:val="32"/>
              </w:rPr>
            </w:r>
          </w:p>
        </w:tc>
      </w:tr>
      <w:tr>
        <w:trPr>
          <w:trHeight w:val="356" w:hRule="atLeast"/>
        </w:trPr>
        <w:tc>
          <w:tcPr>
            <w:tcW w:w="3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pacing w:lineRule="auto" w:line="240" w:before="0" w:after="0"/>
              <w:ind w:hanging="360" w:start="360" w:end="0"/>
              <w:jc w:val="both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eastAsia="Calibri" w:cs="TH SarabunPSK" w:ascii="TH SarabunPSK" w:hAnsi="TH SarabunPSK"/>
                <w:b/>
                <w:bCs/>
                <w:color w:val="000000"/>
                <w:sz w:val="32"/>
                <w:szCs w:val="32"/>
                <w:highlight w:val="cyan"/>
                <w:u w:val="single"/>
              </w:rPr>
              <w:t xml:space="preserve">PCT </w:t>
            </w:r>
            <w:r>
              <w:rPr>
                <w:rFonts w:ascii="TH SarabunPSK" w:hAnsi="TH SarabunPSK" w:eastAsia="Calibri" w:cs="TH SarabunPSK"/>
                <w:b/>
                <w:b/>
                <w:bCs/>
                <w:color w:val="000000"/>
                <w:sz w:val="32"/>
                <w:szCs w:val="32"/>
                <w:highlight w:val="cyan"/>
                <w:u w:val="single"/>
              </w:rPr>
              <w:t>จิตเวช</w:t>
            </w:r>
          </w:p>
        </w:tc>
        <w:tc>
          <w:tcPr>
            <w:tcW w:w="1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eastAsia="Calibri" w:cs="TH SarabunPSK" w:ascii="TH SarabunPSK" w:hAnsi="TH SarabunPSK"/>
                <w:b/>
                <w:bCs/>
                <w:color w:val="000000"/>
                <w:sz w:val="32"/>
                <w:szCs w:val="32"/>
                <w:u w:val="single"/>
              </w:rPr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EEAF6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</w:tr>
      <w:tr>
        <w:trPr>
          <w:trHeight w:val="356" w:hRule="atLeast"/>
        </w:trPr>
        <w:tc>
          <w:tcPr>
            <w:tcW w:w="3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sz w:val="32"/>
                <w:szCs w:val="32"/>
              </w:rPr>
              <w:t>ร้อยละของผู้ป่วยกลุ่มเสี่ยงได้รับการดูแลต่อเนื่อง</w:t>
            </w:r>
          </w:p>
        </w:tc>
        <w:tc>
          <w:tcPr>
            <w:tcW w:w="1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sz w:val="32"/>
                <w:szCs w:val="32"/>
              </w:rPr>
              <w:t>ร้อยละ</w:t>
            </w:r>
            <w:r>
              <w:rPr>
                <w:rFonts w:eastAsia="Calibri" w:cs="TH SarabunPSK" w:ascii="TH SarabunPSK" w:hAnsi="TH SarabunPSK"/>
                <w:sz w:val="32"/>
                <w:szCs w:val="32"/>
              </w:rPr>
              <w:t>100</w:t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100</w:t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color w:val="000000"/>
                <w:sz w:val="32"/>
                <w:szCs w:val="32"/>
              </w:rPr>
              <w:t>96.16</w:t>
            </w:r>
          </w:p>
        </w:tc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85.36</w:t>
            </w:r>
          </w:p>
        </w:tc>
        <w:tc>
          <w:tcPr>
            <w:tcW w:w="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90.28</w:t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EE0000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color w:val="000000"/>
                <w:sz w:val="32"/>
                <w:szCs w:val="32"/>
              </w:rPr>
              <w:t>92.25</w:t>
            </w:r>
          </w:p>
        </w:tc>
      </w:tr>
      <w:tr>
        <w:trPr>
          <w:trHeight w:val="356" w:hRule="atLeast"/>
        </w:trPr>
        <w:tc>
          <w:tcPr>
            <w:tcW w:w="3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ร้อยละของผู้ป่วยยาเสพติดเข้าสู่กระบวนการบำบัดรักษาได้รับการดูแลอย่างมีคุณภาพต่อเนื่องจนถึงการติดตาม </w:t>
            </w:r>
            <w:r>
              <w:rPr>
                <w:rFonts w:eastAsia="Calibri" w:cs="TH SarabunPSK" w:ascii="TH SarabunPSK" w:hAnsi="TH SarabunPSK"/>
                <w:sz w:val="32"/>
                <w:szCs w:val="32"/>
              </w:rPr>
              <w:t>(Retention Rate)</w:t>
            </w:r>
          </w:p>
        </w:tc>
        <w:tc>
          <w:tcPr>
            <w:tcW w:w="1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ร้อยละ </w:t>
            </w:r>
            <w:r>
              <w:rPr>
                <w:rFonts w:eastAsia="Calibri" w:cs="TH SarabunPSK" w:ascii="TH SarabunPSK" w:hAnsi="TH SarabunPSK"/>
                <w:sz w:val="32"/>
                <w:szCs w:val="32"/>
              </w:rPr>
              <w:t>70</w:t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75.18</w:t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120" w:after="0"/>
              <w:ind w:start="-108" w:end="-108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80.75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</w:r>
          </w:p>
        </w:tc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86.83</w:t>
            </w:r>
          </w:p>
        </w:tc>
        <w:tc>
          <w:tcPr>
            <w:tcW w:w="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76.01</w:t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EE0000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78.52</w:t>
            </w:r>
          </w:p>
        </w:tc>
      </w:tr>
      <w:tr>
        <w:trPr>
          <w:trHeight w:val="890" w:hRule="atLeast"/>
        </w:trPr>
        <w:tc>
          <w:tcPr>
            <w:tcW w:w="3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อัตราการกลับมารักษาซ้ำใน</w:t>
            </w:r>
            <w:r>
              <w:rPr>
                <w:rFonts w:eastAsia="TH SarabunPSK" w:cs="TH SarabunPSK" w:ascii="TH SarabunPSK" w:hAnsi="TH SarabunPSK"/>
                <w:b/>
                <w:sz w:val="32"/>
                <w:szCs w:val="32"/>
              </w:rPr>
              <w:t>28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วัน</w:t>
            </w:r>
          </w:p>
        </w:tc>
        <w:tc>
          <w:tcPr>
            <w:tcW w:w="1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TH SarabunPSK" w:cs="TH SarabunPSK" w:ascii="TH SarabunPSK" w:hAnsi="TH SarabunPSK"/>
                <w:b/>
                <w:sz w:val="32"/>
                <w:szCs w:val="32"/>
              </w:rPr>
              <w:t>&lt;</w:t>
            </w:r>
            <w:r>
              <w:rPr>
                <w:rFonts w:ascii="TH SarabunPSK" w:hAnsi="TH SarabunPSK" w:eastAsia="CordiaUPC" w:cs="TH SarabunPSK"/>
                <w:b/>
                <w:b/>
                <w:sz w:val="32"/>
                <w:szCs w:val="32"/>
              </w:rPr>
              <w:t>ร้อยละ</w:t>
            </w:r>
            <w:r>
              <w:rPr>
                <w:rFonts w:eastAsia="CordiaUPC" w:cs="TH SarabunPSK" w:ascii="TH SarabunPSK" w:hAnsi="TH SarabunPSK"/>
                <w:b/>
                <w:sz w:val="32"/>
                <w:szCs w:val="32"/>
              </w:rPr>
              <w:t>10</w:t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4.40</w:t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3.00</w:t>
            </w:r>
          </w:p>
        </w:tc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5.56</w:t>
            </w:r>
          </w:p>
        </w:tc>
        <w:tc>
          <w:tcPr>
            <w:tcW w:w="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5.57</w:t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2CC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Calibri" w:cs="TH SarabunPSK"/>
                <w:color w:val="EE0000"/>
                <w:sz w:val="32"/>
                <w:szCs w:val="32"/>
              </w:rPr>
            </w:pPr>
            <w:r>
              <w:rPr>
                <w:rFonts w:eastAsia="Calibri" w:cs="TH SarabunPSK" w:ascii="TH SarabunPSK" w:hAnsi="TH SarabunPSK"/>
                <w:sz w:val="32"/>
                <w:szCs w:val="32"/>
              </w:rPr>
              <w:t>6.08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H SarabunPSK" w:hAnsi="TH SarabunPSK" w:eastAsia="Calibri" w:cs="TH SarabunPSK"/>
          <w:sz w:val="32"/>
          <w:szCs w:val="32"/>
        </w:rPr>
      </w:pPr>
      <w:r>
        <w:rPr>
          <w:rFonts w:eastAsia="Calibri" w:cs="TH SarabunPSK" w:ascii="TH SarabunPSK" w:hAnsi="TH SarabunPSK"/>
          <w:sz w:val="32"/>
          <w:szCs w:val="32"/>
        </w:rPr>
      </w:r>
    </w:p>
    <w:p>
      <w:pPr>
        <w:pStyle w:val="Normal"/>
        <w:numPr>
          <w:ilvl w:val="1"/>
          <w:numId w:val="7"/>
        </w:numPr>
        <w:spacing w:lineRule="auto" w:line="240" w:before="0"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การพัฒนาคุณภาพที่อยู่ระหว่างการดำเนินการ </w:t>
      </w:r>
      <w:r>
        <w:rPr>
          <w:rFonts w:cs="TH SarabunPSK" w:ascii="TH SarabunPSK" w:hAnsi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บรรยาย หรือ ใช้ตารางแสดงก็ได้</w:t>
      </w:r>
      <w:r>
        <w:rPr>
          <w:rFonts w:cs="TH SarabunPSK" w:ascii="TH SarabunPSK" w:hAnsi="TH SarabunPSK"/>
          <w:sz w:val="32"/>
          <w:szCs w:val="32"/>
        </w:rPr>
        <w:t xml:space="preserve">)   </w:t>
      </w:r>
    </w:p>
    <w:p>
      <w:pPr>
        <w:pStyle w:val="Normal"/>
        <w:spacing w:lineRule="auto" w:line="240" w:before="0" w:after="0"/>
        <w:ind w:firstLine="720" w:start="720" w:end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cs="TH SarabunPSK" w:ascii="TH SarabunPSK" w:hAnsi="TH SarabunPSK"/>
          <w:sz w:val="32"/>
          <w:szCs w:val="32"/>
        </w:rPr>
        <w:t xml:space="preserve">5.3.1 </w:t>
      </w:r>
      <w:r>
        <w:rPr>
          <w:rFonts w:ascii="TH SarabunPSK" w:hAnsi="TH SarabunPSK" w:cs="TH SarabunPSK"/>
          <w:sz w:val="32"/>
          <w:szCs w:val="32"/>
        </w:rPr>
        <w:t>การพัฒนาคุณภาพระบบบริการสุขภาพจิตและจิตเวชระดับรุนแรง ยุ่งยาก ซับซ้อน</w:t>
      </w:r>
    </w:p>
    <w:p>
      <w:pPr>
        <w:pStyle w:val="Normal"/>
        <w:spacing w:lineRule="auto" w:line="240" w:before="0"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cs="TH SarabunPSK" w:ascii="TH SarabunPSK" w:hAnsi="TH SarabunPSK"/>
          <w:sz w:val="32"/>
          <w:szCs w:val="32"/>
        </w:rPr>
        <w:tab/>
        <w:tab/>
        <w:t xml:space="preserve">5.3.2 </w:t>
      </w:r>
      <w:r>
        <w:rPr>
          <w:rFonts w:ascii="TH SarabunPSK" w:hAnsi="TH SarabunPSK" w:cs="TH SarabunPSK"/>
          <w:sz w:val="32"/>
          <w:szCs w:val="32"/>
        </w:rPr>
        <w:t>การพัฒนาแนวทางการดูแลผู้ป่วยจิตเวชที่มีโรคร่วมทางกายที่ซับซ้อน</w:t>
      </w:r>
    </w:p>
    <w:p>
      <w:pPr>
        <w:pStyle w:val="Normal"/>
        <w:spacing w:lineRule="auto" w:line="240" w:before="0"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cs="TH SarabunPSK" w:ascii="TH SarabunPSK" w:hAnsi="TH SarabunPSK"/>
          <w:sz w:val="32"/>
          <w:szCs w:val="32"/>
        </w:rPr>
        <w:t xml:space="preserve">                     5.3.3 </w:t>
      </w:r>
      <w:r>
        <w:rPr>
          <w:rFonts w:ascii="TH SarabunPSK" w:hAnsi="TH SarabunPSK" w:cs="TH SarabunPSK"/>
          <w:sz w:val="32"/>
          <w:szCs w:val="32"/>
        </w:rPr>
        <w:t xml:space="preserve">การพัฒนาระบบติดตามฝ้าระวังผู้ป่วย </w:t>
      </w:r>
      <w:r>
        <w:rPr>
          <w:rFonts w:cs="TH SarabunPSK" w:ascii="TH SarabunPSK" w:hAnsi="TH SarabunPSK"/>
          <w:sz w:val="32"/>
          <w:szCs w:val="32"/>
        </w:rPr>
        <w:t xml:space="preserve">SMI-V </w:t>
      </w:r>
      <w:r>
        <w:rPr>
          <w:rFonts w:ascii="TH SarabunPSK" w:hAnsi="TH SarabunPSK" w:cs="TH SarabunPSK"/>
          <w:sz w:val="32"/>
          <w:szCs w:val="32"/>
        </w:rPr>
        <w:t xml:space="preserve">ผ่านโปรแกรม </w:t>
      </w:r>
      <w:r>
        <w:rPr>
          <w:rFonts w:cs="TH SarabunPSK" w:ascii="TH SarabunPSK" w:hAnsi="TH SarabunPSK"/>
          <w:sz w:val="32"/>
          <w:szCs w:val="32"/>
        </w:rPr>
        <w:t>smart Tele mind</w:t>
      </w:r>
    </w:p>
    <w:p>
      <w:pPr>
        <w:pStyle w:val="Normal"/>
        <w:spacing w:lineRule="auto" w:line="240" w:before="0"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cs="TH SarabunPSK" w:ascii="TH SarabunPSK" w:hAnsi="TH SarabunPSK"/>
          <w:sz w:val="32"/>
          <w:szCs w:val="32"/>
        </w:rPr>
        <w:tab/>
        <w:tab/>
      </w:r>
    </w:p>
    <w:p>
      <w:pPr>
        <w:pStyle w:val="Normal"/>
        <w:spacing w:lineRule="auto" w:line="240" w:before="0"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cs="TH SarabunPSK" w:ascii="TH SarabunPSK" w:hAnsi="TH SarabunPSK"/>
          <w:sz w:val="32"/>
          <w:szCs w:val="32"/>
        </w:rPr>
        <w:t xml:space="preserve">6. </w:t>
      </w:r>
      <w:r>
        <w:rPr>
          <w:rFonts w:ascii="TH SarabunPSK" w:hAnsi="TH SarabunPSK" w:cs="TH SarabunPSK"/>
          <w:sz w:val="32"/>
          <w:szCs w:val="32"/>
        </w:rPr>
        <w:t>แผนการที่จะพัฒนาต่อเนื่องต่อไป</w:t>
      </w:r>
      <w:r>
        <w:rPr>
          <w:rStyle w:val="FootnoteCharacters"/>
          <w:rStyle w:val="FootnoteReference"/>
          <w:rFonts w:ascii="TH SarabunPSK" w:hAnsi="TH SarabunPSK" w:cs="TH SarabunPSK"/>
        </w:rPr>
        <w:footnoteReference w:id="2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cs="TH SarabunPSK" w:ascii="TH SarabunPSK" w:hAnsi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เป็นสิ่งที่มีโอกาสเกิดขึ้นได้ สัมพันธ์กับข้อ </w:t>
      </w:r>
      <w:r>
        <w:rPr>
          <w:rFonts w:cs="TH SarabunPSK" w:ascii="TH SarabunPSK" w:hAnsi="TH SarabunPSK"/>
          <w:sz w:val="32"/>
          <w:szCs w:val="32"/>
        </w:rPr>
        <w:t xml:space="preserve">2 </w:t>
      </w:r>
      <w:r>
        <w:rPr>
          <w:rFonts w:ascii="TH SarabunPSK" w:hAnsi="TH SarabunPSK" w:cs="TH SarabunPSK"/>
          <w:sz w:val="32"/>
          <w:szCs w:val="32"/>
        </w:rPr>
        <w:t xml:space="preserve">และ </w:t>
      </w:r>
      <w:r>
        <w:rPr>
          <w:rFonts w:cs="TH SarabunPSK" w:ascii="TH SarabunPSK" w:hAnsi="TH SarabunPSK"/>
          <w:sz w:val="32"/>
          <w:szCs w:val="32"/>
        </w:rPr>
        <w:t xml:space="preserve">4 </w:t>
      </w:r>
      <w:r>
        <w:rPr>
          <w:rFonts w:ascii="TH SarabunPSK" w:hAnsi="TH SarabunPSK" w:cs="TH SarabunPSK"/>
          <w:sz w:val="32"/>
          <w:szCs w:val="32"/>
        </w:rPr>
        <w:t>และทบทวนจากการประเมินที่ได้ทำไว้ในปีก่อนๆ</w:t>
      </w:r>
      <w:r>
        <w:rPr>
          <w:rFonts w:cs="TH SarabunPSK" w:ascii="TH SarabunPSK" w:hAnsi="TH SarabunPSK"/>
          <w:sz w:val="32"/>
          <w:szCs w:val="32"/>
        </w:rPr>
        <w:t>)</w:t>
      </w:r>
    </w:p>
    <w:p>
      <w:pPr>
        <w:pStyle w:val="Normal"/>
        <w:spacing w:lineRule="auto" w:line="240" w:before="0"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cs="TH SarabunPSK" w:ascii="TH SarabunPSK" w:hAnsi="TH SarabunPSK"/>
          <w:sz w:val="32"/>
          <w:szCs w:val="32"/>
        </w:rPr>
      </w:r>
    </w:p>
    <w:tbl>
      <w:tblPr>
        <w:tblW w:w="924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310"/>
        <w:gridCol w:w="2310"/>
        <w:gridCol w:w="2311"/>
        <w:gridCol w:w="2311"/>
      </w:tblGrid>
      <w:tr>
        <w:trPr>
          <w:tblHeader w:val="true"/>
        </w:trPr>
        <w:tc>
          <w:tcPr>
            <w:tcW w:w="2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 xml:space="preserve">แผน </w:t>
            </w: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 xml:space="preserve">/ 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กิจกรรมที่วางแผนจะทำต่อไป</w:t>
            </w:r>
          </w:p>
        </w:tc>
        <w:tc>
          <w:tcPr>
            <w:tcW w:w="2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วัตถุประสงค์</w:t>
            </w:r>
          </w:p>
        </w:tc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ตัวชี้วัด</w:t>
            </w:r>
          </w:p>
        </w:tc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ระยะเวลา</w:t>
            </w:r>
          </w:p>
        </w:tc>
      </w:tr>
      <w:tr>
        <w:trPr/>
        <w:tc>
          <w:tcPr>
            <w:tcW w:w="2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>1.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พัฒนากระบวนการดูแลผู้ป่วยโดยใช้ข้อมูลความเสี่ยง และ โอกาสที่จะเกิดความเสี่ยงวางแผนร่วมกับสหวิชาชีพในการดูแลผู้ป่วยและมีการสะท้อนข้อมูลผลการดูแลไปยังระดับเครือข่ายและร่วมกันปรับแผนการดูแลให้สอดคล้องกับปัญหาของผู้ป่วย ครอบครัว ชุมชน</w:t>
            </w:r>
          </w:p>
        </w:tc>
        <w:tc>
          <w:tcPr>
            <w:tcW w:w="2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เพื่อให้ผู้ป่วยปลอดภัยและมีคุณภาพ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</w:tc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H SarabunPSK" w:ascii="TH SarabunPSK" w:hAnsi="TH SarabunPSK"/>
                <w:sz w:val="32"/>
                <w:szCs w:val="32"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อัตรการตาย </w:t>
            </w:r>
            <w:r>
              <w:rPr>
                <w:rFonts w:cs="TH SarabunPSK" w:ascii="TH SarabunPSK" w:hAnsi="TH SarabunPSK"/>
                <w:sz w:val="32"/>
                <w:szCs w:val="32"/>
              </w:rPr>
              <w:t>0%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cs="TH SarabunPSK" w:ascii="TH SarabunPSK" w:hAnsi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อัตราการเกิดความพิการ </w:t>
            </w:r>
            <w:r>
              <w:rPr>
                <w:rFonts w:cs="TH SarabunPSK" w:ascii="TH SarabunPSK" w:hAnsi="TH SarabunPSK"/>
                <w:sz w:val="32"/>
                <w:szCs w:val="32"/>
              </w:rPr>
              <w:t>0%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H SarabunPSK" w:ascii="TH SarabunPSK" w:hAnsi="TH SarabunPSK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/>
                <w:sz w:val="32"/>
                <w:szCs w:val="32"/>
              </w:rPr>
              <w:t>อัตราการ</w:t>
            </w:r>
            <w:r>
              <w:rPr>
                <w:rFonts w:cs="TH SarabunPSK" w:ascii="TH SarabunPSK" w:hAnsi="TH SarabunPSK"/>
                <w:sz w:val="32"/>
                <w:szCs w:val="32"/>
              </w:rPr>
              <w:t>Readmit &lt;10%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cs="TH SarabunPSK" w:ascii="TH SarabunPSK" w:hAnsi="TH SarabunPSK"/>
                <w:sz w:val="32"/>
                <w:szCs w:val="32"/>
              </w:rPr>
            </w:r>
          </w:p>
        </w:tc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ปีงบประมาณ</w:t>
            </w: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>2569-2570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</w:tc>
      </w:tr>
      <w:tr>
        <w:trPr/>
        <w:tc>
          <w:tcPr>
            <w:tcW w:w="2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>2.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แผนการขยายผลการดูแลผู้ป่วย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ทำร้ายตนเอง</w:t>
            </w:r>
            <w:r>
              <w:rPr>
                <w:rFonts w:cs="TH SarabunPSK" w:ascii="TH SarabunPSK" w:hAnsi="TH SarabunPSK"/>
                <w:sz w:val="32"/>
                <w:szCs w:val="32"/>
              </w:rPr>
              <w:t>/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พยายามฆ่าตัวตายในหน่วยงานในโรงพยาบาลและประเด็นที่เกี่ยวข้องกับหน่วยงานอื่นนอกโรงพยาบาล</w:t>
            </w:r>
          </w:p>
        </w:tc>
        <w:tc>
          <w:tcPr>
            <w:tcW w:w="2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ผู้ป่วย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ทำร้ายตนเอง</w:t>
            </w:r>
            <w:r>
              <w:rPr>
                <w:rFonts w:cs="TH SarabunPSK" w:ascii="TH SarabunPSK" w:hAnsi="TH SarabunPSK"/>
                <w:sz w:val="32"/>
                <w:szCs w:val="32"/>
              </w:rPr>
              <w:t>/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พยายามฆ่าตัวตายในหน่วยงานในโรงพยาบาลได้รับการดูแลตามมาตรฐาน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</w:tc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cs="TH SarabunPSK" w:ascii="TH SarabunPSK" w:hAnsi="TH SarabunPSK"/>
                <w:sz w:val="32"/>
                <w:szCs w:val="32"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>ผู้ป่วยที่เข้ามารักษาในโรงพยาบาลด้วยเรื่องทำร้ายตนเอง</w:t>
            </w:r>
            <w:r>
              <w:rPr>
                <w:rFonts w:cs="TH SarabunPSK" w:ascii="TH SarabunPSK" w:hAnsi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พยายามฆ่าตัวตาย ไม่มีพฤติกรรมฆ่าตายซ้ำในขณะอยู่รักษาในโรงพยาบาล</w:t>
            </w:r>
          </w:p>
        </w:tc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ปีงบประมาณ</w:t>
            </w: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>2569-2570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</w:tc>
      </w:tr>
      <w:tr>
        <w:trPr/>
        <w:tc>
          <w:tcPr>
            <w:tcW w:w="2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2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>3.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การพัฒนาระบบติดตามฝ้าระวังผู้ป่วย </w:t>
            </w:r>
            <w:r>
              <w:rPr>
                <w:rFonts w:cs="TH SarabunPSK" w:ascii="TH SarabunPSK" w:hAnsi="TH SarabunPSK"/>
                <w:sz w:val="32"/>
                <w:szCs w:val="32"/>
              </w:rPr>
              <w:t xml:space="preserve">SMI-V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ผ่านโปรแกรม </w:t>
            </w:r>
            <w:r>
              <w:rPr>
                <w:rFonts w:cs="TH SarabunPSK" w:ascii="TH SarabunPSK" w:hAnsi="TH SarabunPSK"/>
                <w:sz w:val="32"/>
                <w:szCs w:val="32"/>
              </w:rPr>
              <w:t>smart Tele mind</w:t>
            </w:r>
          </w:p>
        </w:tc>
        <w:tc>
          <w:tcPr>
            <w:tcW w:w="2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 xml:space="preserve">เพื่อกำกับ ติดตาม เฝ้าระวังผู้ป่วย </w:t>
            </w: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 xml:space="preserve">SMI-V 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ก่อความรุนแรงในชุมชน</w:t>
            </w:r>
          </w:p>
        </w:tc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cs="TH SarabunPSK" w:ascii="TH SarabunPSK" w:hAnsi="TH SarabunPSK"/>
                <w:sz w:val="32"/>
                <w:szCs w:val="32"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>อุบัติการผู้ป่วย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 xml:space="preserve"> </w:t>
            </w: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 xml:space="preserve">SMI-V </w:t>
            </w: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ก่อความรุนแรงซ้ำในชุมชน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เป็น </w:t>
            </w:r>
            <w:r>
              <w:rPr>
                <w:rFonts w:cs="TH SarabunPSK" w:ascii="TH SarabunPSK" w:hAnsi="TH SarabunPSK"/>
                <w:sz w:val="32"/>
                <w:szCs w:val="32"/>
              </w:rPr>
              <w:t>0</w:t>
            </w:r>
          </w:p>
        </w:tc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ascii="TH SarabunPSK" w:hAnsi="TH SarabunPSK" w:eastAsia="SimSun;宋体" w:cs="TH SarabunPSK"/>
                <w:sz w:val="32"/>
                <w:szCs w:val="32"/>
              </w:rPr>
              <w:t>ปีงบประมาณ</w:t>
            </w:r>
            <w:r>
              <w:rPr>
                <w:rFonts w:eastAsia="SimSun;宋体" w:cs="TH SarabunPSK" w:ascii="TH SarabunPSK" w:hAnsi="TH SarabunPSK"/>
                <w:sz w:val="32"/>
                <w:szCs w:val="32"/>
              </w:rPr>
              <w:t>2569-2570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H SarabunPSK" w:hAnsi="TH SarabunPSK" w:eastAsia="SimSun;宋体" w:cs="TH SarabunPSK"/>
                <w:sz w:val="32"/>
                <w:szCs w:val="32"/>
              </w:rPr>
            </w:pPr>
            <w:r>
              <w:rPr>
                <w:rFonts w:eastAsia="SimSun;宋体" w:cs="TH SarabunPSK" w:ascii="TH SarabunPSK" w:hAnsi="TH SarabunPSK"/>
                <w:sz w:val="32"/>
                <w:szCs w:val="32"/>
              </w:rPr>
            </w:r>
          </w:p>
        </w:tc>
      </w:tr>
    </w:tbl>
    <w:p>
      <w:pPr>
        <w:pStyle w:val="Style21"/>
        <w:spacing w:lineRule="auto" w:line="240" w:before="0" w:after="0"/>
        <w:ind w:start="0" w:end="0"/>
        <w:contextualSpacing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cs="TH SarabunPSK" w:ascii="TH SarabunPSK" w:hAnsi="TH SarabunPSK"/>
          <w:sz w:val="32"/>
          <w:szCs w:val="32"/>
        </w:rPr>
      </w:r>
    </w:p>
    <w:p>
      <w:pPr>
        <w:pStyle w:val="Normal"/>
        <w:tabs>
          <w:tab w:val="clear" w:pos="720"/>
          <w:tab w:val="left" w:pos="1440" w:leader="none"/>
        </w:tabs>
        <w:spacing w:lineRule="auto" w:line="240" w:before="0"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cs="TH SarabunPSK" w:ascii="TH SarabunPSK" w:hAnsi="TH SarabunPSK"/>
          <w:b/>
          <w:bCs/>
          <w:sz w:val="32"/>
          <w:szCs w:val="32"/>
        </w:rPr>
      </w:r>
    </w:p>
    <w:p>
      <w:pPr>
        <w:pStyle w:val="Normal"/>
        <w:tabs>
          <w:tab w:val="clear" w:pos="720"/>
          <w:tab w:val="left" w:pos="1440" w:leader="none"/>
        </w:tabs>
        <w:spacing w:lineRule="auto" w:line="240" w:before="0"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cs="TH SarabunPSK" w:ascii="TH SarabunPSK" w:hAnsi="TH SarabunPSK"/>
          <w:b/>
          <w:bCs/>
          <w:sz w:val="32"/>
          <w:szCs w:val="32"/>
        </w:rPr>
      </w:r>
    </w:p>
    <w:p>
      <w:pPr>
        <w:pStyle w:val="Normal"/>
        <w:tabs>
          <w:tab w:val="clear" w:pos="720"/>
          <w:tab w:val="left" w:pos="1440" w:leader="none"/>
        </w:tabs>
        <w:spacing w:lineRule="auto" w:line="240" w:before="0"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cs="TH SarabunPSK" w:ascii="TH SarabunPSK" w:hAnsi="TH SarabunPSK"/>
          <w:b/>
          <w:bCs/>
          <w:sz w:val="32"/>
          <w:szCs w:val="32"/>
        </w:rPr>
      </w:r>
    </w:p>
    <w:p>
      <w:pPr>
        <w:pStyle w:val="Normal"/>
        <w:tabs>
          <w:tab w:val="clear" w:pos="720"/>
          <w:tab w:val="left" w:pos="1440" w:leader="none"/>
        </w:tabs>
        <w:spacing w:lineRule="auto" w:line="240" w:before="0"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cs="TH SarabunPSK" w:ascii="TH SarabunPSK" w:hAnsi="TH SarabunPSK"/>
          <w:b/>
          <w:bCs/>
          <w:sz w:val="32"/>
          <w:szCs w:val="32"/>
        </w:rPr>
      </w:r>
    </w:p>
    <w:p>
      <w:pPr>
        <w:pStyle w:val="Normal"/>
        <w:tabs>
          <w:tab w:val="clear" w:pos="720"/>
          <w:tab w:val="left" w:pos="1440" w:leader="none"/>
        </w:tabs>
        <w:spacing w:lineRule="auto" w:line="240" w:before="0"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cs="TH SarabunPSK" w:ascii="TH SarabunPSK" w:hAnsi="TH SarabunPSK"/>
          <w:b/>
          <w:bCs/>
          <w:sz w:val="32"/>
          <w:szCs w:val="32"/>
        </w:rPr>
      </w:r>
    </w:p>
    <w:p>
      <w:pPr>
        <w:pStyle w:val="Normal"/>
        <w:tabs>
          <w:tab w:val="clear" w:pos="720"/>
          <w:tab w:val="left" w:pos="1440" w:leader="none"/>
        </w:tabs>
        <w:spacing w:lineRule="auto" w:line="240" w:before="0"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cs="TH SarabunPSK" w:ascii="TH SarabunPSK" w:hAnsi="TH SarabunPSK"/>
          <w:b/>
          <w:bCs/>
          <w:sz w:val="32"/>
          <w:szCs w:val="32"/>
        </w:rPr>
      </w:r>
    </w:p>
    <w:p>
      <w:pPr>
        <w:spacing w:before="240" w:after="80" w:line="240" w:lineRule="auto"/>
      </w:pPr>
      <w:r>
        <w:rPr>
          <w:rFonts w:cs="TH SarabunPSK" w:ascii="TH SarabunPSK" w:hAnsi="TH SarabunPSK"/>
          <w:b/>
          <w:bCs/>
          <w:color w:val="1F4E79"/>
          <w:sz w:val="34"/>
          <w:szCs w:val="34"/>
        </w:rPr>
        <w:t xml:space="preserve">ภาคผนวก (ปรับปรุงเพิ่มเติม) — ปริมาณงานบริการ PCT จิตเวช ปีงบประมาณ 2564–2569</w:t>
      </w:r>
    </w:p>
    <w:tbl>
      <w:tblPr>
        <w:tblW w:w="900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</w:tblPr>
      <w:tblGrid>
        <w:gridCol w:w="1500"/>
        <w:gridCol w:w="1950"/>
        <w:gridCol w:w="1950"/>
        <w:gridCol w:w="1800"/>
        <w:gridCol w:w="1800"/>
      </w:tblGrid>
      <w:tr>
        <w:tc>
          <w:tcPr>
            <w:tcW w:w="1500" w:type="dxa"/>
            <w:shd w:val="clear" w:color="auto" w:fill="1F6FB2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cs="TH SarabunPSK" w:ascii="TH SarabunPSK" w:hAnsi="TH SarabunPSK"/>
                <w:b/>
                <w:bCs/>
                <w:color w:val="FFFFFF"/>
                <w:sz w:val="30"/>
                <w:szCs w:val="30"/>
              </w:rPr>
              <w:t xml:space="preserve">ปีงบ</w:t>
            </w:r>
          </w:p>
        </w:tc>
        <w:tc>
          <w:tcPr>
            <w:tcW w:w="1950" w:type="dxa"/>
            <w:shd w:val="clear" w:color="auto" w:fill="1F6FB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b/>
                <w:bCs/>
                <w:color w:val="FFFFFF"/>
                <w:sz w:val="30"/>
                <w:szCs w:val="30"/>
              </w:rPr>
              <w:t xml:space="preserve">ผู้ป่วยนอก (ครั้ง)</w:t>
            </w:r>
          </w:p>
        </w:tc>
        <w:tc>
          <w:tcPr>
            <w:tcW w:w="1950" w:type="dxa"/>
            <w:shd w:val="clear" w:color="auto" w:fill="1F6FB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b/>
                <w:bCs/>
                <w:color w:val="FFFFFF"/>
                <w:sz w:val="30"/>
                <w:szCs w:val="30"/>
              </w:rPr>
              <w:t xml:space="preserve">ผู้ป่วยนอก (ราย)</w:t>
            </w:r>
          </w:p>
        </w:tc>
        <w:tc>
          <w:tcPr>
            <w:tcW w:w="1800" w:type="dxa"/>
            <w:shd w:val="clear" w:color="auto" w:fill="1F6FB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b/>
                <w:bCs/>
                <w:color w:val="FFFFFF"/>
                <w:sz w:val="30"/>
                <w:szCs w:val="30"/>
              </w:rPr>
              <w:t xml:space="preserve">รับไว้ในหอ (ราย)</w:t>
            </w:r>
          </w:p>
        </w:tc>
        <w:tc>
          <w:tcPr>
            <w:tcW w:w="1800" w:type="dxa"/>
            <w:shd w:val="clear" w:color="auto" w:fill="1F6FB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b/>
                <w:bCs/>
                <w:color w:val="FFFFFF"/>
                <w:sz w:val="30"/>
                <w:szCs w:val="30"/>
              </w:rPr>
              <w:t xml:space="preserve">วันนอนเฉลี่ย (วัน)</w:t>
            </w:r>
          </w:p>
        </w:tc>
      </w:tr>
      <w:tr>
        <w:tc>
          <w:tcPr>
            <w:tcW w:w="1500" w:type="dxa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2564</w:t>
            </w:r>
          </w:p>
        </w:tc>
        <w:tc>
          <w:tcPr>
            <w:tcW w:w="1950" w:type="dxa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31,061</w:t>
            </w:r>
          </w:p>
        </w:tc>
        <w:tc>
          <w:tcPr>
            <w:tcW w:w="1950" w:type="dxa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9,391</w:t>
            </w:r>
          </w:p>
        </w:tc>
        <w:tc>
          <w:tcPr>
            <w:tcW w:w="1800" w:type="dxa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1,055</w:t>
            </w:r>
          </w:p>
        </w:tc>
        <w:tc>
          <w:tcPr>
            <w:tcW w:w="1800" w:type="dxa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11.64</w:t>
            </w:r>
          </w:p>
        </w:tc>
      </w:tr>
      <w:tr>
        <w:tc>
          <w:tcPr>
            <w:tcW w:w="1500" w:type="dxa"/>
            <w:shd w:val="clear" w:color="auto" w:fill="F2F2F2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2565</w:t>
            </w:r>
          </w:p>
        </w:tc>
        <w:tc>
          <w:tcPr>
            <w:tcW w:w="1950" w:type="dxa"/>
            <w:shd w:val="clear" w:color="auto" w:fill="F2F2F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31,251</w:t>
            </w:r>
          </w:p>
        </w:tc>
        <w:tc>
          <w:tcPr>
            <w:tcW w:w="1950" w:type="dxa"/>
            <w:shd w:val="clear" w:color="auto" w:fill="F2F2F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9,602</w:t>
            </w:r>
          </w:p>
        </w:tc>
        <w:tc>
          <w:tcPr>
            <w:tcW w:w="1800" w:type="dxa"/>
            <w:shd w:val="clear" w:color="auto" w:fill="F2F2F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1,092</w:t>
            </w:r>
          </w:p>
        </w:tc>
        <w:tc>
          <w:tcPr>
            <w:tcW w:w="1800" w:type="dxa"/>
            <w:shd w:val="clear" w:color="auto" w:fill="F2F2F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8.76</w:t>
            </w:r>
          </w:p>
        </w:tc>
      </w:tr>
      <w:tr>
        <w:tc>
          <w:tcPr>
            <w:tcW w:w="1500" w:type="dxa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2566</w:t>
            </w:r>
          </w:p>
        </w:tc>
        <w:tc>
          <w:tcPr>
            <w:tcW w:w="1950" w:type="dxa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31,882</w:t>
            </w:r>
          </w:p>
        </w:tc>
        <w:tc>
          <w:tcPr>
            <w:tcW w:w="1950" w:type="dxa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10,414</w:t>
            </w:r>
          </w:p>
        </w:tc>
        <w:tc>
          <w:tcPr>
            <w:tcW w:w="1800" w:type="dxa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1,181</w:t>
            </w:r>
          </w:p>
        </w:tc>
        <w:tc>
          <w:tcPr>
            <w:tcW w:w="1800" w:type="dxa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11.49</w:t>
            </w:r>
          </w:p>
        </w:tc>
      </w:tr>
      <w:tr>
        <w:tc>
          <w:tcPr>
            <w:tcW w:w="1500" w:type="dxa"/>
            <w:shd w:val="clear" w:color="auto" w:fill="F2F2F2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2567</w:t>
            </w:r>
          </w:p>
        </w:tc>
        <w:tc>
          <w:tcPr>
            <w:tcW w:w="1950" w:type="dxa"/>
            <w:shd w:val="clear" w:color="auto" w:fill="F2F2F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34,701</w:t>
            </w:r>
          </w:p>
        </w:tc>
        <w:tc>
          <w:tcPr>
            <w:tcW w:w="1950" w:type="dxa"/>
            <w:shd w:val="clear" w:color="auto" w:fill="F2F2F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11,120</w:t>
            </w:r>
          </w:p>
        </w:tc>
        <w:tc>
          <w:tcPr>
            <w:tcW w:w="1800" w:type="dxa"/>
            <w:shd w:val="clear" w:color="auto" w:fill="F2F2F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1,351</w:t>
            </w:r>
          </w:p>
        </w:tc>
        <w:tc>
          <w:tcPr>
            <w:tcW w:w="1800" w:type="dxa"/>
            <w:shd w:val="clear" w:color="auto" w:fill="F2F2F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13.24</w:t>
            </w:r>
          </w:p>
        </w:tc>
      </w:tr>
      <w:tr>
        <w:tc>
          <w:tcPr>
            <w:tcW w:w="1500" w:type="dxa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2568</w:t>
            </w:r>
          </w:p>
        </w:tc>
        <w:tc>
          <w:tcPr>
            <w:tcW w:w="1950" w:type="dxa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40,158</w:t>
            </w:r>
          </w:p>
        </w:tc>
        <w:tc>
          <w:tcPr>
            <w:tcW w:w="1950" w:type="dxa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11,741</w:t>
            </w:r>
          </w:p>
        </w:tc>
        <w:tc>
          <w:tcPr>
            <w:tcW w:w="1800" w:type="dxa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1,318</w:t>
            </w:r>
          </w:p>
        </w:tc>
        <w:tc>
          <w:tcPr>
            <w:tcW w:w="1800" w:type="dxa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11.50</w:t>
            </w:r>
          </w:p>
        </w:tc>
      </w:tr>
      <w:tr>
        <w:tc>
          <w:tcPr>
            <w:tcW w:w="1500" w:type="dxa"/>
            <w:shd w:val="clear" w:color="auto" w:fill="F2F2F2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2569*</w:t>
            </w:r>
          </w:p>
        </w:tc>
        <w:tc>
          <w:tcPr>
            <w:tcW w:w="1950" w:type="dxa"/>
            <w:shd w:val="clear" w:color="auto" w:fill="F2F2F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28,513</w:t>
            </w:r>
          </w:p>
        </w:tc>
        <w:tc>
          <w:tcPr>
            <w:tcW w:w="1950" w:type="dxa"/>
            <w:shd w:val="clear" w:color="auto" w:fill="F2F2F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10,250</w:t>
            </w:r>
          </w:p>
        </w:tc>
        <w:tc>
          <w:tcPr>
            <w:tcW w:w="1800" w:type="dxa"/>
            <w:shd w:val="clear" w:color="auto" w:fill="F2F2F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964</w:t>
            </w:r>
          </w:p>
        </w:tc>
        <w:tc>
          <w:tcPr>
            <w:tcW w:w="1800" w:type="dxa"/>
            <w:shd w:val="clear" w:color="auto" w:fill="F2F2F2"/>
            <w:vAlign w:val="center"/>
          </w:tcPr>
          <w:p>
            <w:pPr>
              <w:spacing w:before="20" w:after="20" w:line="240" w:lineRule="auto"/>
              <w:jc w:val="end"/>
            </w:pPr>
            <w:r>
              <w:rPr>
                <w:rFonts w:cs="TH SarabunPSK" w:ascii="TH SarabunPSK" w:hAnsi="TH SarabunPSK"/>
                <w:sz w:val="30"/>
                <w:szCs w:val="30"/>
              </w:rPr>
              <w:t xml:space="preserve">9.79</w:t>
            </w:r>
          </w:p>
        </w:tc>
      </w:tr>
    </w:tbl>
    <w:p>
      <w:pPr>
        <w:spacing w:before="80" w:after="60" w:line="240" w:lineRule="auto"/>
        <w:jc w:val="both"/>
      </w:pPr>
      <w:r>
        <w:rPr>
          <w:rFonts w:cs="TH SarabunPSK" w:ascii="TH SarabunPSK" w:hAnsi="TH SarabunPSK"/>
          <w:sz w:val="28"/>
          <w:szCs w:val="28"/>
        </w:rPr>
        <w:t xml:space="preserve">* ปีงบประมาณ 2569 เป็นข้อมูลถึงต้นเดือนมิถุนายน 2569 ยังไม่ครบปี</w:t>
      </w:r>
    </w:p>
    <w:p>
      <w:pPr>
        <w:spacing w:before="0" w:after="60" w:line="240" w:lineRule="auto"/>
        <w:jc w:val="both"/>
      </w:pPr>
      <w:r>
        <w:rPr>
          <w:rFonts w:cs="TH SarabunPSK" w:ascii="TH SarabunPSK" w:hAnsi="TH SarabunPSK"/>
          <w:b/>
          <w:bCs/>
          <w:sz w:val="30"/>
          <w:szCs w:val="30"/>
        </w:rPr>
        <w:t xml:space="preserve">หมายเหตุ: </w:t>
      </w:r>
      <w:r>
        <w:rPr>
          <w:rFonts w:cs="TH SarabunPSK" w:ascii="TH SarabunPSK" w:hAnsi="TH SarabunPSK"/>
          <w:sz w:val="30"/>
          <w:szCs w:val="30"/>
        </w:rPr>
        <w:t xml:space="preserve">อัตราการกลับมารักษาซ้ำภายใน 28 วัน มีแนวโน้มสูงขึ้นในช่วงปีงบประมาณ 2567–2569 ควรกำหนดเป็นประเด็นเฝ้าระวังและทบทวนหาสาเหตุ (RCA) เป็นระยะ (ไม่ได้แก้ไขตัวเลขในตารางตัวชี้วัดเดิม)</w:t>
      </w:r>
    </w:p>
    <w:p>
      <w:pPr>
        <w:spacing w:before="0" w:after="0" w:line="240" w:lineRule="auto"/>
        <w:jc w:val="both"/>
      </w:pPr>
      <w:r>
        <w:rPr>
          <w:rFonts w:cs="TH SarabunPSK" w:ascii="TH SarabunPSK" w:hAnsi="TH SarabunPSK"/>
          <w:color w:val="808080"/>
          <w:sz w:val="26"/>
          <w:szCs w:val="26"/>
        </w:rPr>
        <w:t xml:space="preserve">ข้อมูลจากการทบทวนเวชระเบียน/เวชสถิติของกลุ่มงาน</w:t>
      </w:r>
    </w:p>
    <w:sectPr>
      <w:headerReference w:type="default" r:id="rId2"/>
      <w:footnotePr>
        <w:numFmt w:val="decimal"/>
      </w:footnotePr>
      <w:type w:val="nextPage"/>
      <w:pgSz w:w="11906" w:h="16838"/>
      <w:pgMar w:left="1440" w:right="1440" w:gutter="0" w:header="708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AngsanaUPC">
    <w:charset w:val="00" w:characterSet="windows-1252"/>
    <w:family w:val="roman"/>
    <w:pitch w:val="variable"/>
  </w:font>
  <w:font w:name="Browallia New">
    <w:charset w:val="00" w:characterSet="windows-1252"/>
    <w:family w:val="swiss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Angsana New">
    <w:charset w:val="00" w:characterSet="windows-1252"/>
    <w:family w:val="roman"/>
    <w:pitch w:val="variable"/>
  </w:font>
  <w:font w:name="TH SarabunPSK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ordia New">
    <w:charset w:val="00" w:characterSet="windows-1252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cs="Browallia New"/>
          <w:sz w:val="24"/>
          <w:szCs w:val="24"/>
        </w:rPr>
      </w:pPr>
      <w:r>
        <w:rPr>
          <w:rStyle w:val="FootnoteCharacters"/>
        </w:rPr>
        <w:footnoteRef/>
      </w:r>
      <w:r>
        <w:rPr>
          <w:rFonts w:cs="Browallia New"/>
          <w:sz w:val="24"/>
          <w:szCs w:val="24"/>
        </w:rPr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25</w:t>
    </w:r>
    <w:r>
      <w:rPr/>
      <w:fldChar w:fldCharType="end"/>
    </w:r>
  </w:p>
  <w:p>
    <w:pPr>
      <w:pStyle w:val="Header"/>
      <w:spacing w:before="0" w:after="20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pStyle w:val="Heading8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6"/>
      <w:numFmt w:val="decimal"/>
      <w:lvlText w:val="%1."/>
      <w:lvlJc w:val="start"/>
      <w:pPr>
        <w:tabs>
          <w:tab w:val="num" w:pos="0"/>
        </w:tabs>
        <w:ind w:start="1080" w:hanging="360"/>
      </w:pPr>
      <w:rPr/>
    </w:lvl>
  </w:abstractNum>
  <w:abstractNum w:abstractNumId="3">
    <w:lvl w:ilvl="0">
      <w:start w:val="2"/>
      <w:numFmt w:val="bullet"/>
      <w:lvlText w:val="-"/>
      <w:lvlJc w:val="start"/>
      <w:pPr>
        <w:tabs>
          <w:tab w:val="num" w:pos="0"/>
        </w:tabs>
        <w:ind w:start="644" w:hanging="360"/>
      </w:pPr>
      <w:rPr>
        <w:rFonts w:ascii="Browallia New" w:hAnsi="Browallia New" w:cs="Browallia New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636" w:hanging="360"/>
      </w:pPr>
      <w:rPr/>
    </w:lvl>
  </w:abstractNum>
  <w:abstractNum w:abstractNumId="5">
    <w:lvl w:ilvl="0">
      <w:start w:val="1"/>
      <w:numFmt w:val="decimal"/>
      <w:lvlText w:val="%1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isLgl/>
      <w:lvlText w:val="%1.%2"/>
      <w:lvlJc w:val="start"/>
      <w:pPr>
        <w:tabs>
          <w:tab w:val="num" w:pos="360"/>
        </w:tabs>
        <w:ind w:start="360" w:hanging="360"/>
      </w:pPr>
      <w:rPr/>
    </w:lvl>
    <w:lvl w:ilvl="2">
      <w:start w:val="1"/>
      <w:numFmt w:val="decimal"/>
      <w:isLgl/>
      <w:lvlText w:val="%1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isLgl/>
      <w:lvlText w:val="%1.%2.%3.%4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isLgl/>
      <w:lvlText w:val="%1.%2.%3.%4.%5"/>
      <w:lvlJc w:val="start"/>
      <w:pPr>
        <w:tabs>
          <w:tab w:val="num" w:pos="1080"/>
        </w:tabs>
        <w:ind w:start="1080" w:hanging="1080"/>
      </w:pPr>
      <w:rPr/>
    </w:lvl>
    <w:lvl w:ilvl="5">
      <w:start w:val="1"/>
      <w:numFmt w:val="decimal"/>
      <w:isLgl/>
      <w:lvlText w:val="%1.%2.%3.%4.%5.%6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isLgl/>
      <w:lvlText w:val="%1.%2.%3.%4.%5.%6.%7"/>
      <w:lvlJc w:val="start"/>
      <w:pPr>
        <w:tabs>
          <w:tab w:val="num" w:pos="1080"/>
        </w:tabs>
        <w:ind w:start="1080" w:hanging="1080"/>
      </w:pPr>
      <w:rPr/>
    </w:lvl>
    <w:lvl w:ilvl="7">
      <w:start w:val="1"/>
      <w:numFmt w:val="decimal"/>
      <w:isLgl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isLgl/>
      <w:lvlText w:val="%1.%2.%3.%4.%5.%6.%7.%8.%9"/>
      <w:lvlJc w:val="start"/>
      <w:pPr>
        <w:tabs>
          <w:tab w:val="num" w:pos="1440"/>
        </w:tabs>
        <w:ind w:start="1440" w:hanging="1440"/>
      </w:pPr>
      <w:rPr/>
    </w:lvl>
  </w:abstractNum>
  <w:abstractNum w:abstractNumId="6">
    <w:lvl w:ilvl="0">
      <w:start w:val="1"/>
      <w:numFmt w:val="decimal"/>
      <w:lvlText w:val="%1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isLgl/>
      <w:lvlText w:val="%1.%2"/>
      <w:lvlJc w:val="start"/>
      <w:pPr>
        <w:tabs>
          <w:tab w:val="num" w:pos="360"/>
        </w:tabs>
        <w:ind w:start="360" w:hanging="360"/>
      </w:pPr>
      <w:rPr/>
    </w:lvl>
    <w:lvl w:ilvl="2">
      <w:start w:val="1"/>
      <w:numFmt w:val="decimal"/>
      <w:isLgl/>
      <w:lvlText w:val="%1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isLgl/>
      <w:lvlText w:val="%1.%2.%3.%4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isLgl/>
      <w:lvlText w:val="%1.%2.%3.%4.%5"/>
      <w:lvlJc w:val="start"/>
      <w:pPr>
        <w:tabs>
          <w:tab w:val="num" w:pos="1080"/>
        </w:tabs>
        <w:ind w:start="1080" w:hanging="1080"/>
      </w:pPr>
      <w:rPr/>
    </w:lvl>
    <w:lvl w:ilvl="5">
      <w:start w:val="1"/>
      <w:numFmt w:val="decimal"/>
      <w:isLgl/>
      <w:lvlText w:val="%1.%2.%3.%4.%5.%6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isLgl/>
      <w:lvlText w:val="%1.%2.%3.%4.%5.%6.%7"/>
      <w:lvlJc w:val="start"/>
      <w:pPr>
        <w:tabs>
          <w:tab w:val="num" w:pos="1080"/>
        </w:tabs>
        <w:ind w:start="1080" w:hanging="1080"/>
      </w:pPr>
      <w:rPr/>
    </w:lvl>
    <w:lvl w:ilvl="7">
      <w:start w:val="1"/>
      <w:numFmt w:val="decimal"/>
      <w:isLgl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isLgl/>
      <w:lvlText w:val="%1.%2.%3.%4.%5.%6.%7.%8.%9"/>
      <w:lvlJc w:val="start"/>
      <w:pPr>
        <w:tabs>
          <w:tab w:val="num" w:pos="1440"/>
        </w:tabs>
        <w:ind w:start="1440" w:hanging="1440"/>
      </w:pPr>
      <w:rPr/>
    </w:lvl>
  </w:abstractNum>
  <w:abstractNum w:abstractNumId="7">
    <w:lvl w:ilvl="0">
      <w:start w:val="5"/>
      <w:numFmt w:val="decimal"/>
      <w:lvlText w:val="%1"/>
      <w:lvlJc w:val="start"/>
      <w:pPr>
        <w:tabs>
          <w:tab w:val="num" w:pos="0"/>
        </w:tabs>
        <w:ind w:start="360" w:hanging="360"/>
      </w:pPr>
      <w:rPr/>
    </w:lvl>
    <w:lvl w:ilvl="1">
      <w:start w:val="3"/>
      <w:numFmt w:val="decimal"/>
      <w:lvlText w:val="%1.%2"/>
      <w:lvlJc w:val="start"/>
      <w:pPr>
        <w:tabs>
          <w:tab w:val="num" w:pos="0"/>
        </w:tabs>
        <w:ind w:start="360" w:hanging="36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800" w:hanging="1800"/>
      </w:pPr>
      <w:rPr/>
    </w:lvl>
  </w:abstractNum>
  <w:abstractNum w:abstractNumId="8">
    <w:lvl w:ilvl="0">
      <w:start w:val="5"/>
      <w:numFmt w:val="decimal"/>
      <w:lvlText w:val="%1"/>
      <w:lvlJc w:val="start"/>
      <w:pPr>
        <w:tabs>
          <w:tab w:val="num" w:pos="0"/>
        </w:tabs>
        <w:ind w:start="1080" w:hanging="360"/>
      </w:pPr>
      <w:rPr/>
    </w:lvl>
  </w:abstractNum>
  <w:abstractNum w:abstractNumId="9">
    <w:lvl w:ilvl="0">
      <w:start w:val="1"/>
      <w:numFmt w:val="decimal"/>
      <w:lvlText w:val="%1"/>
      <w:lvlJc w:val="start"/>
      <w:pPr>
        <w:tabs>
          <w:tab w:val="num" w:pos="360"/>
        </w:tabs>
        <w:ind w:start="36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Cordia New"/>
      <w:color w:val="auto"/>
      <w:sz w:val="22"/>
      <w:szCs w:val="28"/>
      <w:lang w:bidi="th-TH" w:val="en-US" w:eastAsia="zh-CN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spacing w:lineRule="auto" w:line="240" w:before="0" w:after="0"/>
      <w:outlineLvl w:val="7"/>
    </w:pPr>
    <w:rPr>
      <w:rFonts w:ascii="AngsanaUPC" w:hAnsi="AngsanaUPC" w:eastAsia="Cordia New" w:cs="Angsana New"/>
      <w:sz w:val="32"/>
      <w:szCs w:val="32"/>
      <w:u w:val="single"/>
      <w:lang w:val="en-US"/>
    </w:rPr>
  </w:style>
  <w:style w:type="character" w:styleId="WW8Num1z0">
    <w:name w:val="WW8Num1z0"/>
    <w:qFormat/>
    <w:rPr>
      <w:color w:val="000000"/>
    </w:rPr>
  </w:style>
  <w:style w:type="character" w:styleId="WW8Num1z1">
    <w:name w:val="WW8Num1z1"/>
    <w:qFormat/>
    <w:rPr>
      <w:color w:val="0000FF"/>
    </w:rPr>
  </w:style>
  <w:style w:type="character" w:styleId="WW8Num1z2">
    <w:name w:val="WW8Num1z2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Browallia New" w:hAnsi="Browallia New" w:eastAsia="Calibri" w:cs="Browallia New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8z0">
    <w:name w:val="WW8Num8z0"/>
    <w:qFormat/>
    <w:rPr>
      <w:sz w:val="28"/>
    </w:rPr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4z0">
    <w:name w:val="WW8Num14z0"/>
    <w:qFormat/>
    <w:rPr>
      <w:rFonts w:ascii="Angsana New" w:hAnsi="Angsana New" w:eastAsia="Times New Roman" w:cs="Angsana New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/>
  </w:style>
  <w:style w:type="character" w:styleId="WW8Num16z0">
    <w:name w:val="WW8Num16z0"/>
    <w:qFormat/>
    <w:rPr>
      <w:color w:val="0000FF"/>
    </w:rPr>
  </w:style>
  <w:style w:type="character" w:styleId="WW8Num16z1">
    <w:name w:val="WW8Num16z1"/>
    <w:qFormat/>
    <w:rPr>
      <w:color w:val="000000"/>
    </w:rPr>
  </w:style>
  <w:style w:type="character" w:styleId="WW8Num17z0">
    <w:name w:val="WW8Num17z0"/>
    <w:qFormat/>
    <w:rPr>
      <w:rFonts w:cs="Times New Roman"/>
    </w:rPr>
  </w:style>
  <w:style w:type="character" w:styleId="WW8Num17z1">
    <w:name w:val="WW8Num17z1"/>
    <w:qFormat/>
    <w:rPr>
      <w:rFonts w:cs="Times New Roman"/>
    </w:rPr>
  </w:style>
  <w:style w:type="character" w:styleId="WW8Num18z0">
    <w:name w:val="WW8Num18z0"/>
    <w:qFormat/>
    <w:rPr>
      <w:sz w:val="28"/>
    </w:rPr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1z0">
    <w:name w:val="WW8Num21z0"/>
    <w:qFormat/>
    <w:rPr/>
  </w:style>
  <w:style w:type="character" w:styleId="WW8Num22z0">
    <w:name w:val="WW8Num22z0"/>
    <w:qFormat/>
    <w:rPr>
      <w:sz w:val="28"/>
    </w:rPr>
  </w:style>
  <w:style w:type="character" w:styleId="WW8Num23z0">
    <w:name w:val="WW8Num23z0"/>
    <w:qFormat/>
    <w:rPr>
      <w:color w:val="000000"/>
    </w:rPr>
  </w:style>
  <w:style w:type="character" w:styleId="WW8Num23z1">
    <w:name w:val="WW8Num23z1"/>
    <w:qFormat/>
    <w:rPr>
      <w:rFonts w:ascii="Symbol" w:hAnsi="Symbol" w:cs="Symbol"/>
      <w:color w:val="333333"/>
      <w:sz w:val="16"/>
      <w:szCs w:val="16"/>
    </w:rPr>
  </w:style>
  <w:style w:type="character" w:styleId="WW8Num23z3">
    <w:name w:val="WW8Num23z3"/>
    <w:qFormat/>
    <w:rPr>
      <w:rFonts w:ascii="Angsana New" w:hAnsi="Angsana New" w:eastAsia="SimSun;宋体" w:cs="Angsana New"/>
    </w:rPr>
  </w:style>
  <w:style w:type="character" w:styleId="WW8Num24z0">
    <w:name w:val="WW8Num24z0"/>
    <w:qFormat/>
    <w:rPr>
      <w:rFonts w:ascii="TH SarabunPSK" w:hAnsi="TH SarabunPSK" w:eastAsia="SimSun;宋体" w:cs="TH SarabunPSK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0">
    <w:name w:val="WW8Num25z0"/>
    <w:qFormat/>
    <w:rPr/>
  </w:style>
  <w:style w:type="character" w:styleId="WW8Num26z0">
    <w:name w:val="WW8Num26z0"/>
    <w:qFormat/>
    <w:rPr>
      <w:rFonts w:ascii="Symbol" w:hAnsi="Symbol" w:cs="Symbol"/>
      <w:color w:val="333333"/>
      <w:sz w:val="16"/>
      <w:szCs w:val="16"/>
    </w:rPr>
  </w:style>
  <w:style w:type="character" w:styleId="WW8Num26z1">
    <w:name w:val="WW8Num26z1"/>
    <w:qFormat/>
    <w:rPr>
      <w:rFonts w:ascii="Wingdings" w:hAnsi="Wingdings" w:eastAsia="Times New Roman" w:cs="Cordia New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6z4">
    <w:name w:val="WW8Num26z4"/>
    <w:qFormat/>
    <w:rPr>
      <w:rFonts w:ascii="Courier New" w:hAnsi="Courier New" w:cs="Courier New"/>
    </w:rPr>
  </w:style>
  <w:style w:type="character" w:styleId="WW8Num26z5">
    <w:name w:val="WW8Num26z5"/>
    <w:qFormat/>
    <w:rPr>
      <w:rFonts w:ascii="Wingdings" w:hAnsi="Wingdings" w:cs="Wingdings"/>
    </w:rPr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>
      <w:rFonts w:ascii="Angsana New" w:hAnsi="Angsana New" w:eastAsia="Angsana New" w:cs="Angsana New"/>
    </w:rPr>
  </w:style>
  <w:style w:type="character" w:styleId="WW8Num30z0">
    <w:name w:val="WW8Num30z0"/>
    <w:qFormat/>
    <w:rPr>
      <w:sz w:val="28"/>
    </w:rPr>
  </w:style>
  <w:style w:type="character" w:styleId="Style13">
    <w:name w:val="แบบอักษรของย่อหน้าเริ่มต้น"/>
    <w:qFormat/>
    <w:rPr/>
  </w:style>
  <w:style w:type="character" w:styleId="Style14">
    <w:name w:val="ข้อความเชิงอรรถ อักขระ"/>
    <w:qFormat/>
    <w:rPr>
      <w:rFonts w:ascii="Browallia New" w:hAnsi="Browallia New" w:eastAsia="Times New Roman" w:cs="Angsana New"/>
      <w:sz w:val="20"/>
      <w:szCs w:val="23"/>
    </w:rPr>
  </w:style>
  <w:style w:type="character" w:styleId="Style15">
    <w:name w:val="ชื่อเรื่องรอง อักขระ"/>
    <w:qFormat/>
    <w:rPr>
      <w:rFonts w:ascii="AngsanaUPC" w:hAnsi="AngsanaUPC" w:eastAsia="Cordia New" w:cs="AngsanaUPC"/>
      <w:b/>
      <w:sz w:val="32"/>
      <w:szCs w:val="32"/>
    </w:rPr>
  </w:style>
  <w:style w:type="character" w:styleId="FootnoteCharacters">
    <w:name w:val="Footnote Characters"/>
    <w:qFormat/>
    <w:rPr>
      <w:sz w:val="32"/>
      <w:szCs w:val="32"/>
      <w:vertAlign w:val="superscript"/>
    </w:rPr>
  </w:style>
  <w:style w:type="character" w:styleId="8">
    <w:name w:val="หัวเรื่อง 8 อักขระ"/>
    <w:qFormat/>
    <w:rPr>
      <w:rFonts w:ascii="AngsanaUPC" w:hAnsi="AngsanaUPC" w:eastAsia="Cordia New" w:cs="Angsana New"/>
      <w:sz w:val="32"/>
      <w:szCs w:val="32"/>
      <w:u w:val="single"/>
      <w:lang w:val="en-US"/>
    </w:rPr>
  </w:style>
  <w:style w:type="character" w:styleId="Style16">
    <w:name w:val="เนื้อความ อักขระ"/>
    <w:qFormat/>
    <w:rPr>
      <w:rFonts w:ascii="AngsanaUPC" w:hAnsi="AngsanaUPC" w:eastAsia="Cordia New" w:cs="Angsana New"/>
      <w:sz w:val="32"/>
      <w:szCs w:val="32"/>
      <w:lang w:val="en-US"/>
    </w:rPr>
  </w:style>
  <w:style w:type="character" w:styleId="Style17">
    <w:name w:val="ข้อความบอลลูน อักขระ"/>
    <w:qFormat/>
    <w:rPr>
      <w:rFonts w:ascii="Tahoma" w:hAnsi="Tahoma" w:eastAsia="Times New Roman" w:cs="Angsana New"/>
      <w:sz w:val="16"/>
      <w:szCs w:val="20"/>
    </w:rPr>
  </w:style>
  <w:style w:type="character" w:styleId="Style18">
    <w:name w:val="หัวกระดาษ อักขระ"/>
    <w:qFormat/>
    <w:rPr>
      <w:rFonts w:eastAsia="Times New Roman"/>
      <w:sz w:val="22"/>
      <w:szCs w:val="28"/>
    </w:rPr>
  </w:style>
  <w:style w:type="character" w:styleId="Style19">
    <w:name w:val="ท้ายกระดาษ อักขระ"/>
    <w:qFormat/>
    <w:rPr>
      <w:rFonts w:eastAsia="Times New Roman"/>
      <w:sz w:val="22"/>
      <w:szCs w:val="28"/>
    </w:rPr>
  </w:style>
  <w:style w:type="character" w:styleId="Style20">
    <w:name w:val="การเยื้องเนื้อความ อักขระ"/>
    <w:qFormat/>
    <w:rPr>
      <w:rFonts w:eastAsia="Times New Roman"/>
      <w:sz w:val="22"/>
      <w:szCs w:val="28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40" w:before="0" w:after="0"/>
    </w:pPr>
    <w:rPr>
      <w:rFonts w:ascii="AngsanaUPC" w:hAnsi="AngsanaUPC" w:eastAsia="Cordia New" w:cs="Angsana New"/>
      <w:sz w:val="32"/>
      <w:szCs w:val="32"/>
      <w:lang w:val="en-US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21">
    <w:name w:val="รายการย่อหน้า"/>
    <w:basedOn w:val="Normal"/>
    <w:qFormat/>
    <w:pPr>
      <w:spacing w:before="0" w:after="200"/>
      <w:ind w:hanging="0" w:start="720" w:end="0"/>
      <w:contextualSpacing/>
    </w:pPr>
    <w:rPr/>
  </w:style>
  <w:style w:type="paragraph" w:styleId="FootnoteText">
    <w:name w:val="footnote text"/>
    <w:basedOn w:val="Normal"/>
    <w:pPr>
      <w:spacing w:lineRule="auto" w:line="240" w:before="0" w:after="0"/>
    </w:pPr>
    <w:rPr>
      <w:rFonts w:ascii="Browallia New" w:hAnsi="Browallia New" w:cs="Angsana New"/>
      <w:sz w:val="20"/>
      <w:szCs w:val="23"/>
      <w:lang w:val="en-US"/>
    </w:rPr>
  </w:style>
  <w:style w:type="paragraph" w:styleId="Subtitle">
    <w:name w:val="Subtitle"/>
    <w:basedOn w:val="Normal"/>
    <w:next w:val="BodyText"/>
    <w:qFormat/>
    <w:pPr>
      <w:spacing w:lineRule="auto" w:line="240" w:before="0" w:after="0"/>
    </w:pPr>
    <w:rPr>
      <w:rFonts w:ascii="AngsanaUPC" w:hAnsi="AngsanaUPC" w:eastAsia="Cordia New" w:cs="Angsana New"/>
      <w:b/>
      <w:sz w:val="32"/>
      <w:szCs w:val="32"/>
      <w:lang w:val="en-US"/>
    </w:rPr>
  </w:style>
  <w:style w:type="paragraph" w:styleId="Style22">
    <w:name w:val="ไม่มีการเว้นระยะห่าง"/>
    <w:qFormat/>
    <w:pPr>
      <w:widowControl w:val="false"/>
      <w:bidi w:val="0"/>
      <w:jc w:val="both"/>
      <w:textAlignment w:val="baseline"/>
    </w:pPr>
    <w:rPr>
      <w:rFonts w:ascii="Cordia New" w:hAnsi="Cordia New" w:eastAsia="Times New Roman" w:cs="Angsana New"/>
      <w:color w:val="auto"/>
      <w:sz w:val="28"/>
      <w:szCs w:val="35"/>
      <w:lang w:bidi="th-TH" w:val="en-US" w:eastAsia="zh-CN"/>
    </w:rPr>
  </w:style>
  <w:style w:type="paragraph" w:styleId="Style23">
    <w:name w:val="ข้อความบอลลูน"/>
    <w:basedOn w:val="Normal"/>
    <w:qFormat/>
    <w:pPr>
      <w:spacing w:lineRule="auto" w:line="240" w:before="0" w:after="0"/>
    </w:pPr>
    <w:rPr>
      <w:rFonts w:ascii="Tahoma" w:hAnsi="Tahoma" w:cs="Angsana New"/>
      <w:sz w:val="16"/>
      <w:szCs w:val="20"/>
      <w:lang w:val="en-US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</w:pPr>
    <w:rPr>
      <w:rFonts w:cs="Angsana New"/>
      <w:lang w:val="en-US"/>
    </w:rPr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</w:pPr>
    <w:rPr>
      <w:rFonts w:cs="Angsana New"/>
      <w:lang w:val="en-US"/>
    </w:rPr>
  </w:style>
  <w:style w:type="paragraph" w:styleId="Default">
    <w:name w:val="Default"/>
    <w:qFormat/>
    <w:pPr>
      <w:widowControl/>
      <w:autoSpaceDE w:val="false"/>
      <w:bidi w:val="0"/>
    </w:pPr>
    <w:rPr>
      <w:rFonts w:ascii="TH SarabunPSK" w:hAnsi="TH SarabunPSK" w:eastAsia="Calibri" w:cs="TH SarabunPSK"/>
      <w:color w:val="000000"/>
      <w:sz w:val="24"/>
      <w:szCs w:val="24"/>
      <w:lang w:bidi="th-TH" w:val="en-US" w:eastAsia="zh-CN"/>
    </w:rPr>
  </w:style>
  <w:style w:type="paragraph" w:styleId="BodyTextIndent">
    <w:name w:val="Body Text Indent"/>
    <w:basedOn w:val="Normal"/>
    <w:pPr>
      <w:spacing w:before="0" w:after="120"/>
      <w:ind w:hanging="0" w:start="283" w:end="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LibreOffice/26.2.2.2$Linux_X86_64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2026-06-03T07:53:00Z</dcterms:created>
  <dc:creator>c59060031</dc:creator>
  <dc:description/>
  <cp:keywords/>
  <dc:language>en-US</dc:language>
  <cp:lastModifiedBy>Surasith Armartmoontree</cp:lastModifiedBy>
  <cp:lastPrinted>2018-12-06T23:25:00Z</cp:lastPrinted>
  <dcterms:modified xsi:type="dcterms:W3CDTF">2026-06-03T07:53:00Z</dcterms:modified>
  <cp:revision>2</cp:revision>
  <dc:subject/>
  <dc:title/>
</cp:coreProperties>
</file>