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26"/>
          <w:szCs w:val="26"/>
        </w:rPr>
        <w:t xml:space="preserve">โรงพยาบาลร้อยเอ็ด · กลุ่มงานจิตเวชและยาเสพติด · PCT จิตเวช</w:t>
      </w:r>
    </w:p>
    <w:p>
      <w:pPr>
        <w:spacing w:after="40"/>
        <w:jc w:val="center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40"/>
          <w:szCs w:val="40"/>
        </w:rPr>
        <w:t xml:space="preserve">แบบประเมินตนเองตามมาตรฐาน AACI ข้อที่ 19</w:t>
      </w:r>
    </w:p>
    <w:p>
      <w:pPr>
        <w:spacing w:after="160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30"/>
          <w:szCs w:val="30"/>
        </w:rPr>
        <w:t xml:space="preserve">บริการจิตเวชและพฤติกรรมบำบัด (Psychiatric and Behavioral Services)</w:t>
      </w:r>
    </w:p>
    <w:p>
      <w:pPr>
        <w:pBdr>
          <w:bottom w:val="single" w:color="1F6FB2" w:sz="6" w:space="1"/>
        </w:pBdr>
        <w:spacing w:after="12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4"/>
          <w:szCs w:val="24"/>
        </w:rPr>
        <w:t>รหัสเอกสาร: AACI-STD19-PCT-PSY-2569-02 (ฉบับปรับปรุง 11 มิ.ย. 2569)    ผู้รับผิดชอบ: นพ.ธงชัย เสรีรัตน์, พญ.ยุภัตรา ปัตถามัง, พว.สุระสิทธิ์ อามาตมูตรี, พว.สุณี พลซื่อ</w:t>
      </w:r>
    </w:p>
    <w:p>
      <w:pPr>
        <w:spacing w:after="80" w:before="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6"/>
          <w:szCs w:val="26"/>
        </w:rPr>
        <w:t xml:space="preserve">คำชี้แจง: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เอกสารนี้ประเมินความพร้อมของบริการจิตเวชผู้ป่วยใน เทียบกับข้อกำหนด AACI ข้อ 19 โดยอ้างอิงหลักฐาน/เอกสารที่มีอยู่จริงของกลุ่มงาน ส่วนที่ยังไม่พบหลักฐานระบุเป็น 'ต้องจัดทำเพิ่ม' (ไม่กล่าวอ้างเกินจริง) ฉบับปรับปรุงนี้สอบทานกับชุดสไลด์อบรมของวิทยากร AACI (มาตรฐาน v6, 2025) ซึ่งยืนยันว่าข้อ 19 ประกอบด้วย 19.1/19.2/19.3 และรายการข้อกำหนด 19.2 จำนวน 11 ข้อตรงกับแบบประเมินนี้ — รายละเอียดเต็มของ 19.1.4 และ 19.3 รอสอบทานกับหนังสือมาตรฐานฉบับทางการ (TBD) สัญลักษณ์สถานะ: </w:t>
      </w:r>
      <w:r>
        <w:rPr>
          <w:rFonts w:ascii="TH Sarabun New" w:cs="TH Sarabun New" w:eastAsia="TH Sarabun New" w:hAnsi="TH Sarabun New"/>
          <w:b/>
          <w:bCs/>
          <w:i w:val="false"/>
          <w:iCs w:val="false"/>
          <w:sz w:val="26"/>
          <w:szCs w:val="26"/>
        </w:rPr>
        <w:t>✅ มี/สอดคล้อง  🟡 มีบางส่วน/กำลังดำเนินการ  ⛔ ยังต้องจัดทำ</w:t>
      </w:r>
    </w:p>
    <w:p>
      <w:pPr>
        <w:pStyle w:val="Heading1"/>
        <w:spacing w:after="10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สรุปความพร้อมภาพรวม (ข้อ 19.1–19.3)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100"/>
        <w:gridCol w:w="4026"/>
      </w:tblGrid>
      <w:tr>
        <w:trPr>
          <w:tblHeader/>
        </w:trPr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หัวข้อมาตรฐาน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สถานะรวม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สาระสำคัญ / ช่องว่างหลัก</w:t>
            </w:r>
          </w:p>
        </w:tc>
      </w:tr>
      <w:tr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19.1 การบันทึกเวชระเบียน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🟡 กำลังดำเนินการ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ฐานปฏิบัติดี (ประเมิน 24 ชม., MSE, CPG) — ขาด P&amp;P เวชระเบียน + แบบแผนการรักษา/บัญชีทรัพย์สิน/discharge summary</w:t>
            </w:r>
          </w:p>
        </w:tc>
      </w:tr>
      <w:tr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19.2 บุคลากรและอาคารสถานที่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🟡 กำลังดำเนินการ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บุคลากร/กิจกรรมบำบัด/สภาพแวดล้อมเข้มแข็ง — ขาดคำสั่งแต่งตั้งทางการ + เอกสารอัตรากำลัง 24 ชม.</w:t>
            </w:r>
          </w:p>
        </w:tc>
      </w:tr>
      <w:tr>
        <w:tc>
          <w:tcPr>
            <w:tcW w:type="dxa" w:w="2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19.3 บริการด้านสังคม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🟡 กำลังดำเนินการ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กิจกรรมจริง (ร้อยเอ็ดโมเดล/HHC/เครือข่าย) แข็งแรง — ขาดโครงสร้างหน่วยสังคมสงเคราะห์อย่างเป็นทางการ</w:t>
            </w:r>
          </w:p>
        </w:tc>
      </w:tr>
    </w:tbl>
    <w:p>
      <w:pPr>
        <w:spacing w:after="80" w:before="8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548235"/>
          <w:sz w:val="26"/>
          <w:szCs w:val="26"/>
        </w:rPr>
        <w:t xml:space="preserve">จุดแข็งที่ควรชูในการเยี่ยมสำรวจ: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การประเมินผู้ป่วยแรกรับทำภายใน 24 ชม. (เร็วกว่าเกณฑ์ AACI 96 ชม.), มี CPG ครอบคลุมภาวะเสี่ยงสูง 5 เรื่อง, มีระบบบริหารความเสี่ยงเชิงรุก/RCA, และเครือข่ายดูแลต่อเนื่องในชุมชน (ร้อยเอ็ดโมเดล)</w:t>
      </w:r>
    </w:p>
    <w:p>
      <w:pPr>
        <w:spacing w:after="40" w:before="16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6FB2"/>
          <w:sz w:val="26"/>
          <w:szCs w:val="26"/>
        </w:rPr>
        <w:t xml:space="preserve">การเตรียมรับการเยี่ยมสำรวจข้อ 19 (อ้างอิงเอกสารอบรมวิทยากร AACI 2025):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ผู้เยี่ยมสำรวจจะถาม 3 คำถามกับทุกระบบ — Where is the system? / Who is responsible? / What is the evidence?</w:t>
      </w:r>
    </w:p>
    <w:p>
      <w:pPr>
        <w:spacing w:after="20" w:before="0" w:line="240" w:lineRule="auto"/>
        <w:ind w:left="34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– เตรียมเวชระเบียนอย่างน้อย 4 ฉบับ ที่แสดงการบันทึกโรคร่วมของผู้ป่วยจิตเวชครบถ้วน (19.1.2)</w:t>
      </w:r>
    </w:p>
    <w:p>
      <w:pPr>
        <w:spacing w:after="20" w:before="0" w:line="240" w:lineRule="auto"/>
        <w:ind w:left="34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– เวชระเบียนชุดเดียวกันต้องแสดงแผนการรักษาที่จัดทำภายใน 96 ชั่วโมงหลังรับไว้ (19.1.3–19.1.4)</w:t>
      </w:r>
    </w:p>
    <w:p>
      <w:pPr>
        <w:spacing w:after="80" w:before="0" w:line="240" w:lineRule="auto"/>
        <w:ind w:left="34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– เตรียมแสดงเอกสาร/สาธิตขั้นตอนการผูกยึดและการกักตัว (11.11–11.13) และข้อมูลที่วิเคราะห์เพื่อป้องกันการผูกยึดเป็นเวลานาน (11.14) — รายละเอียดดูภาคผนวก ก.</w:t>
      </w:r>
    </w:p>
    <w:p>
      <w:pPr>
        <w:pStyle w:val="Heading1"/>
        <w:spacing w:after="10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19.1 การบันทึกเวชระเบียนบริการจิตเวช</w:t>
      </w:r>
    </w:p>
    <w:p>
      <w:pPr>
        <w:spacing w:after="80" w:before="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6"/>
          <w:szCs w:val="26"/>
        </w:rPr>
        <w:t xml:space="preserve">วัตถุประสงค์: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ทำให้มั่นใจว่ามีเวชระเบียนที่ครบถ้วน ถูกต้อง และเก็บรักษาอย่างปลอดภัยเป็นความลับสำหรับผู้ป่วยจิตเวชทุกราย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50"/>
        <w:gridCol w:w="2650"/>
        <w:gridCol w:w="820"/>
        <w:gridCol w:w="2606"/>
      </w:tblGrid>
      <w:tr>
        <w:trPr>
          <w:tblHeader/>
        </w:trP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ข้อกำหนดตามมาตรฐาน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หลักฐาน/เอกสารที่มีอยู่จริง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สถานะ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สิ่งที่ต้องจัดทำเพิ่ม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1) เวชระเบียนบันทึกรายละเอียดการรักษาครบถ้วนในขอบเขตบริการจิตเวช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ระบบเวชระเบียนอิเล็กทรอนิกส์ของ รพ.; งานสรุป/ตรวจสอบชาร์ตจิตเวช; Psych_HA_v5_EvidencePack_TH (§II การประเมิน)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จัดทำระเบียบปฏิบัติ (P&amp;P) การบันทึกเวชระเบียนจิตเวชเป็นลายลักษณ์อักษร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2) เนื้อหาเวชระเบียน: สถานะทางกฎหมาย, การวินิจฉัยแรกรับ, โรคแทรก/โรคร่วม, เหตุผลรับไว้, ข้อมูลจิตสังคม, ผลตรวจระบบประสาท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วินิจฉัย/โรคร่วมบันทึกในระบบเวชระเบียน; MSE และการประเมินแรกรับใน EvidencePack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เพิ่มการระบุสถานะทางกฎหมาย (สมัครใจ/บังคับรักษา), แบบบันทึกจิตสังคม, ผลตรวจระบบประสาทเมื่อมีข้อบ่งชี้ — เน้นบันทึกโรคร่วม (Co-morbidities)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3) ประเมินจิตเวชภายใน 96 ชม.: MSE, ประวัติ, พฤติกรรม, การรับรู้/ความจำ/orientation, บัญชีทรัพย์สิน (หอผู้ป่วยปิด)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EvidencePack กำหนดประเมินแรกรับภายใน 24 ชม. (เร็วกว่าเกณฑ์ 96 ชม.), มี MSE, จัดระดับความเสี่ยง, ลงนามโดยจิตแพทย์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✅/🟡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เพิ่ม 'บัญชีทรัพย์สินผู้ป่วย' เมื่อรับไว้ในหอผู้ป่วยปิด เป็นลายลักษณ์อักษร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4) แผนการรักษาเฉพาะราย: working diagnosis, เป้าหมายระยะสั้น/ยาว, วิธีบำบัด, บทบาททีมสหสาขา, หลักฐานสนับสนุน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CPG-PCT-PSY-001..005 (NMS/ถอนสุรา-สาร/Clozapine/ECT/Lithium); การวางแผนดูแลตั้งแต่วันแรก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จัดทำแบบ Individualized Treatment Plan รวมเป้าหมาย ST/LT + ความรับผิดชอบทีมสหสาขา ให้เสร็จภายใน 96 ชม.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5–6) บันทึกการรักษาในเวชระเบียน + Progress notes โดยแพทย์/พยาบาล/ผู้ร่วมดูแล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มีระบบบันทึก + protocol การประเมินซ้ำ (EvidencePack §2.2)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คงไว้ + ตรวจสอบความครบถ้วน (audit) เป็นระยะ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7) ความถี่ Progress note ≥ สัปดาห์ละครั้ง (2 เดือนแรก) และ ≥ เดือนละครั้งหลังจากนั้น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มีการประเมินซ้ำตาม trigger (พฤติกรรมเปลี่ยน/ปรับยา/เวรตรวจ)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กำหนดความถี่ขั้นต่ำเป็นนโยบายให้ตรงเกณฑ์ + audit การปฏิบัติ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8) ข้อเสนอปรับ/แก้แผนการรักษา + ประเมินความก้าวหน้าตามแผน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แนวคิดการทบทวน/ปรับแผนใน EvidencePack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บันทึกการปรับแผนและความก้าวหน้าใน progress note ให้ชัดเจน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9) รายงานสรุปการจำหน่าย (Discharge summary): สรุปการรักษา + คำแนะนำติดตาม + สภาพขณะจำหน่าย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การวางแผนจำหน่าย/ดูแลต่อเนื่อง (เอกสารปรับปรุงข้อมูล 2569); ระบบสรุปชาร์ตจำหน่าย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จัดทำแบบ Discharge Summary มาตรฐานจิตเวช และตรวจความครบทุกราย</w:t>
            </w:r>
          </w:p>
        </w:tc>
      </w:tr>
    </w:tbl>
    <w:p>
      <w:pPr>
        <w:pStyle w:val="Heading1"/>
        <w:spacing w:after="10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19.2 ข้อกำหนดด้านบุคลากรและอาคารสถานที่</w:t>
      </w:r>
    </w:p>
    <w:p>
      <w:pPr>
        <w:spacing w:after="80" w:before="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6"/>
          <w:szCs w:val="26"/>
        </w:rPr>
        <w:t xml:space="preserve">วัตถุประสงค์: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จัดให้มีบุคลากรและสิ่งอำนวยความสะดวกที่เพียงพอ ปลอดภัย และมีประสิทธิภาพสำหรับบริการจิตเวช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50"/>
        <w:gridCol w:w="2650"/>
        <w:gridCol w:w="820"/>
        <w:gridCol w:w="2606"/>
      </w:tblGrid>
      <w:tr>
        <w:trPr>
          <w:tblHeader/>
        </w:trP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ข้อกำหนดตามมาตรฐาน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หลักฐาน/เอกสารที่มีอยู่จริง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สถานะ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สิ่งที่ต้องจัดทำเพิ่ม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1) บุคลากรมืออาชีพเพียงพอ (ประเมิน/วางแผน/active treatment/วางแผนจำหน่าย)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ทีมสหสาขา: จิตแพทย์ทั่วไป 4, จิตแพทย์เด็กและวัยรุ่น 2, พยาบาลเฉพาะทาง ป.โท 4, เฉพาะทางเด็ก 2, PG 8, นักจิตวิทยา 3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คงอัตรากำลัง + ทบทวนภาระงานเทียบจำนวนผู้ป่วย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2) บริการผู้ป่วยในกำกับโดยแพทย์ เสนอชื่อโดยคณะกรรมการแพทย์ และอนุมัติโดย Governing Body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มีแพทย์กำกับดูแล / ประธาน PCT จิตเวช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ออกคำสั่งแต่งตั้งผู้อำนวยการแพทย์บริการจิตเวช (Medical Director) อนุมัติโดย Governing Body เป็นลายลักษณ์อักษร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3) ผู้อำนวยการติดตาม/ประเมินคุณภาพและความเหมาะสมของบริการ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QI_Plan_Main, Appendix_B_HAQI_Recommendations, ระบบ PCT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กำหนดให้รายงานคุณภาพถึงคณะกรรมการแพทย์/ผู้บริหารเป็นรอบสม่ำเสมอ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4–5) แพทย์+สหวิชาชีพพร้อมบริการ med/surg ตามจำเป็น; หากในรพ.ไม่ได้ ต้องจัดหาภายนอกเข้าถึงทันที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โรงพยาบาลศูนย์มีบริการการแพทย์/ศัลยกรรมครบ + ระบบ consult ข้ามแผนก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คงระบบ consult + แนวทางส่งต่อกรณีจำเป็น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6) ผู้อำนวยการการพยาบาลจิตเวช เป็นพยาบาลวิชาชีพที่มีคุณสมบัติและประสบการณ์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มีหัวหน้าพยาบาลจิตเวช + พยาบาลเฉพาะทางจิตเวชจำนวนมาก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ออกคำสั่งแต่งตั้ง + ระบุคุณสมบัติตามนโยบายองค์กร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7–8) พยาบาลวิชาชีพ/เทคนิค/จนท.สุขภาพจิตเพียงพอ + อัตรากำลังรับประกัน RN ต่อเนื่อง 24 ชม.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พยาบาลเฉพาะทางจำนวนมาก; หอผู้ป่วยให้บริการ 24 ชม.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จัดทำเอกสารรูปแบบอัตรากำลัง (Staffing Pattern) ที่รับประกัน RN ต่อเนื่อง 24 ชม.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9–10) โปรแกรมกิจกรรมบำบัด (therapeutic activities) + บุคลากรสนับสนุนเพียงพอ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กิจกรรมบำบัดฟื้นฟู, ศูนย์เรียนรู้ผู้ป่วยเรื้อรัง, คลินิกกระตุ้นพัฒนาการ, มินิธัญญารักษ์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จัดทำเอกสารโปรแกรมกิจกรรมบำบัดอย่างเป็นระบบ + ระบุผู้รับผิดชอบ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11) จัดและคงสภาพแวดล้อมปลอดภัยเหมาะสมต่อการรักษา (อ้างอิงข้อ 28.1)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Environmental_Security_Audit_Checklist; ปรับปรุงสถานที่ (กล้องวงจรปิด, ห้องแยกผู้ป่วยก้าวร้าว, แผนผังหนีไฟ/ซ้อม)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✅/🟡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ตรวจประเมินสภาพแวดล้อม (audit) ต่อเนื่อง + ปิด action ที่พบ</w:t>
            </w:r>
          </w:p>
        </w:tc>
      </w:tr>
    </w:tbl>
    <w:p>
      <w:pPr>
        <w:pStyle w:val="Heading1"/>
        <w:spacing w:after="10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19.3 บริการด้านสังคม</w:t>
      </w:r>
    </w:p>
    <w:p>
      <w:pPr>
        <w:spacing w:after="80" w:before="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6"/>
          <w:szCs w:val="26"/>
        </w:rPr>
        <w:t xml:space="preserve">วัตถุประสงค์: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บูรณาการบริการสังคมสงเคราะห์เข้ากับการดูแลจิตเวช เพื่อตอบสนองความต้องการทางสังคมและการดูแลต่อเนื่อง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50"/>
        <w:gridCol w:w="2650"/>
        <w:gridCol w:w="820"/>
        <w:gridCol w:w="2606"/>
      </w:tblGrid>
      <w:tr>
        <w:trPr>
          <w:tblHeader/>
        </w:trP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ข้อกำหนดตามมาตรฐาน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หลักฐาน/เอกสารที่มีอยู่จริง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สถานะ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สิ่งที่ต้องจัดทำเพิ่ม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1) มีผู้รับผิดชอบ/ผู้อำนวยการงานสังคมสงเคราะห์ ติดตามคุณภาพและความเหมาะสมของบริการสังคม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งานสังคมสงเคราะห์เชื่อมการดูแลผู้ป่วยจิตเวช (เครือข่าย/ครอบครัว)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2CC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แต่งตั้งผู้รับผิดชอบงานสังคมสงเคราะห์จิตเวช + จัดทำ P&amp;P บริการสังคม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2) ผู้อำนวยการสังคมสงเคราะห์มีคุณสมบัติ และได้รับอนุมัติจากคณะกรรมการแพทย์ + Governing Body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ยังไม่พบเอกสารแต่งตั้งอย่างเป็นทางการ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⛔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ดำเนินการแต่งตั้งและอนุมัติตามสายบังคับบัญชา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3) เจ้าหน้าที่สังคมสงเคราะห์มีส่วนร่วม: วางแผนจำหน่าย, ดูแลต่อเนื่องหลังจำหน่าย, กลไกแลกเปลี่ยนข้อมูลกับแหล่งภายนอก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ร้อยเอ็ดโมเดล, โครงการ Home Health Care, เครือข่ายชุมชน/รพช., Line application, Family therapy, case management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6"/>
                <w:szCs w:val="26"/>
              </w:rPr>
              <w:t xml:space="preserve">✅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บันทึกบทบาทสังคมสงเคราะห์ในเวชระเบียน/แผนจำหน่ายให้ชัดเจน</w:t>
            </w:r>
          </w:p>
        </w:tc>
      </w:tr>
    </w:tbl>
    <w:p>
      <w:pPr>
        <w:pStyle w:val="Heading1"/>
        <w:spacing w:after="10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แผนปิดช่องว่าง (ลำดับความสำคัญ)</w:t>
      </w:r>
    </w:p>
    <w:p>
      <w:pPr>
        <w:pStyle w:val="ListParagraph"/>
        <w:numPr>
          <w:ilvl w:val="0"/>
          <w:numId w:val="2"/>
        </w:numPr>
        <w:spacing w:after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P&amp;P การบันทึกเวชระเบียนจิตเวช (19.1) + แบบฟอร์ม: แผนการรักษาเฉพาะราย, บัญชีทรัพย์สินผู้ป่วยหอปิด, Discharge Summary มาตรฐาน</w:t>
      </w:r>
    </w:p>
    <w:p>
      <w:pPr>
        <w:pStyle w:val="ListParagraph"/>
        <w:numPr>
          <w:ilvl w:val="0"/>
          <w:numId w:val="2"/>
        </w:numPr>
        <w:spacing w:after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คำสั่งแต่งตั้งอย่างเป็นทางการ (อนุมัติโดย Governing Body): ผู้อำนวยการแพทย์จิตเวช, ผู้อำนวยการการพยาบาลจิตเวช, ผู้รับผิดชอบงานสังคมสงเคราะห์จิตเวช</w:t>
      </w:r>
    </w:p>
    <w:p>
      <w:pPr>
        <w:pStyle w:val="ListParagraph"/>
        <w:numPr>
          <w:ilvl w:val="0"/>
          <w:numId w:val="2"/>
        </w:numPr>
        <w:spacing w:after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เอกสารรูปแบบอัตรากำลัง (Staffing Pattern) รับประกัน RN ต่อเนื่อง 24 ชม. + เอกสารโปรแกรมกิจกรรมบำบัด</w:t>
      </w:r>
    </w:p>
    <w:p>
      <w:pPr>
        <w:pStyle w:val="ListParagraph"/>
        <w:numPr>
          <w:ilvl w:val="0"/>
          <w:numId w:val="2"/>
        </w:numPr>
        <w:spacing w:after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กำหนดความถี่ Progress note ตามเกณฑ์ (≥สัปดาห์/ครั้ง ใน 2 เดือนแรก) + audit ความครบของเวชระเบียนและ Discharge summary</w:t>
      </w:r>
    </w:p>
    <w:p>
      <w:pPr>
        <w:pStyle w:val="ListParagraph"/>
        <w:numPr>
          <w:ilvl w:val="0"/>
          <w:numId w:val="2"/>
        </w:numPr>
        <w:spacing w:after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ตรวจประเมินสภาพแวดล้อมความปลอดภัยต่อเนื่อง และปิด action จาก Risk Register/RCA</w:t>
      </w:r>
    </w:p>
    <w:p>
      <w:pPr>
        <w:pStyle w:val="Heading1"/>
        <w:pageBreakBefore/>
        <w:spacing w:after="100" w:before="240" w:line="240" w:lineRule="auto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4"/>
          <w:szCs w:val="34"/>
        </w:rPr>
        <w:t xml:space="preserve">ภาคผนวก ก. มาตรฐานแวดล้อมที่เกี่ยวข้องกับบริการจิตเวชและยาเสพติด (นอกข้อ 19)</w:t>
      </w:r>
    </w:p>
    <w:p>
      <w:pPr>
        <w:spacing w:after="80" w:before="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มาตรฐาน AACI v6 ข้ออื่นที่ผู้เยี่ยมสำรวจมักตรวจคู่กับหน่วยบริการจิตเวช สรุปจากชุดสไลด์อบรมของวิทยากร (Module I–II และ Process Guide, 2025) — ใช้เป็น checklist เตรียมความพร้อมข้ามหน่วยงาน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50"/>
        <w:gridCol w:w="2650"/>
        <w:gridCol w:w="820"/>
        <w:gridCol w:w="2606"/>
      </w:tblGrid>
      <w:tr>
        <w:trPr>
          <w:tblHeader/>
        </w:trP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มาตรฐาน/ข้อกำหนดโดยย่อ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หลักฐาน/ระบบที่มีอยู่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สถานะ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สิ่งที่ต้องทำ/ตรวจสอบ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11.11–11.14 การผูกยึด/กักตัว (สิทธิผู้ป่วย): ใช้เมื่อจำเป็นเท่านั้นและต้องมีคำสั่งก่อนใช้; กรณีพฤติกรรมรุนแรง/ทำร้ายตนเอง ต่ออายุคำสั่งได้ครั้งละ 4 ชม. (ผู้ใหญ่) / 2 ชม. (9–17 ปี) / 1 ชม. (ต่ำกว่า 9 ปี) รวมไม่เกิน 24 ชม. ครบแล้วแพทย์ต้องประเมินด้วยตนเองก่อนออกคำสั่งใหม่; ยาที่ไม่ใช่การรักษามาตรฐานของโรคและจำกัดการเคลื่อนไหว = chemical restraint; ผู้ปฏิบัติต้องผ่านการอบรม; มีการเก็บ/วิเคราะห์ข้อมูลเพื่อป้องกันการผูกยึดนานเกินจำเป็น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SOP-PCT-PSY-002 (จัดการพฤติกรรมก้าวร้าว/รุนแรง), TR-PCT-PSY-001 (อบรม de-escalation)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ทบทวน SOP ให้ระบุลิมิตเวลาคำสั่งตามช่วงอายุ + แบบบันทึกเฝ้าระวังระหว่างผูกยึด + สรุปวิเคราะห์การใช้รายไตรมาส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6.3 คณะกรรมการกำกับดูแลการใช้ opioid (ระบบความปลอดภัยผู้ป่วย): คณะกรรมการสหวิชาชีพ วิเคราะห์ความเสี่ยง/เหตุการณ์ไม่พึงประสงค์จาก opioid, ประเมินปัจจัยเสี่ยงรายผู้ป่วย, นโยบายการเฝ้าระวังผู้ได้รับ opioid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ต้องตรวจสอบ — อาจมอบบทบาทผ่านคณะกรรมการเภสัชกรรมและการบำบัด (PTC) ของ รพ.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TBD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หารือ PTC มอบหมายหน้าที่ opioid oversight เป็นลายลักษณ์อักษร + เชื่อมงานบำบัดยาเสพติด/มินิธัญญารักษ์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12.1.3 คัดกรองผู้ป่วยเสี่ยงสูงแรกรับ/จำหน่าย 4 ด้าน: functional status / cognitive / family support–การดูแลที่บ้าน / psycho-social needs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การประเมินแรกรับจิตเวช + การวางแผนจำหน่าย (Psych_HA_v5_EvidencePack)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ระบุเกณฑ์คัดกรอง 4 ด้านให้ชัดในแบบประเมินแรกรับ + ใช้ case registry เชื่อมการส่งต่อโปรแกรมยาเสพติดต่อเนื่อง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21 ความปลอดภัยด้านยา: ยาควบคุม/วัตถุออกฤทธิ์ต้องจัดเก็บปลอดภัย, แยกยาหมดอายุ/ฉลากผิดออกจากการใช้, รายงานและวิเคราะห์ medication error พร้อมการแก้ไขเชิงระบบ (CAPA)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ระบบงานเภสัชกรรมของ รพ. (ส่วนกลาง)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TBD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ขอหลักฐานจากกลุ่มงานเภสัชกรรม: การจัดเก็บวัตถุออกฤทธิ์ในหอผู้ป่วยจิตเวช + รายงาน medication error ของหน่วยจิตเวช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28.1 สภาพแวดล้อม/อาคารสถานที่เหมาะสมต่อการรักษาผู้ป่วยจิตเวช (จุดอ้างอิงของข้อ 19.2 ข้อ 11)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Environmental_Security_Audit_Checklist, การปรับปรุงกายภาพหอผู้ป่วย, Risk Register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✅/🟡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ตรวจประเมินซ้ำตามรอบ + ปิด action ค้างจาก Risk Register/RCA</w:t>
            </w:r>
          </w:p>
        </w:tc>
      </w:tr>
      <w:tr>
        <w:tc>
          <w:tcPr>
            <w:tcW w:type="dxa" w:w="29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7.9 สุขภาพบุคลากร: โปรแกรมช่วยเหลือ/อบรม/บำบัดบุคลากรเรื่องสารเสพติด สุรา บุหรี่ + การดูแล wellness/ความเครียด พร้อมช่องทางขอความช่วยเหลือที่เป็นความลับ</w:t>
            </w:r>
          </w:p>
        </w:tc>
        <w:tc>
          <w:tcPr>
            <w:tcW w:type="dxa" w:w="2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ต้องตรวจสอบ (งานอาชีวอนามัย/ทรัพยากรบุคคล ส่วนกลาง)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TBD</w:t>
            </w:r>
          </w:p>
        </w:tc>
        <w:tc>
          <w:tcPr>
            <w:tcW w:type="dxa" w:w="2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ประสานอาชีวอนามัย/HR ขอระเบียบปฏิบัติและช่องทางช่วยเหลือบุคลากร</w:t>
            </w:r>
          </w:p>
        </w:tc>
      </w:tr>
    </w:tbl>
    <w:p>
      <w:pPr>
        <w:spacing w:after="160" w:before="6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หมายเหตุ: สถานะ TBD = รอตรวจสอบ/ขอหลักฐานจากหน่วยงานเจ้าของระบบ — รายการนี้ไม่ใช่การประเมินแทนหน่วยงานนั้น แต่เป็นการเตรียมหลักฐานฝั่งจิตเวชให้พร้อมเมื่อถูกตรวจเชื่อมโยง</w:t>
      </w:r>
    </w:p>
    <w:p>
      <w:pPr>
        <w:spacing w:after="8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28"/>
          <w:szCs w:val="28"/>
        </w:rPr>
        <w:t xml:space="preserve">ผู้จัดทำ / ผู้ตรวจสอบ / ผู้อนุมัติ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9"/>
        <w:gridCol w:w="3009"/>
      </w:tblGrid>
      <w:tr>
        <w:tc>
          <w:tcPr>
            <w:tcW w:type="dxa" w:w="30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ผู้จัดทำ: ทีม PCT จิตเวช</w:t>
            </w:r>
          </w:p>
        </w:tc>
        <w:tc>
          <w:tcPr>
            <w:tcW w:type="dxa" w:w="30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ผู้ตรวจสอบ</w:t>
            </w:r>
          </w:p>
        </w:tc>
        <w:tc>
          <w:tcPr>
            <w:tcW w:type="dxa" w:w="30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  <w:p>
            <w:pPr>
              <w:spacing w:after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ผู้อนุมัติ: นพ.ธงชัย เสรีรัตน์ (ประธาน PCT จิตเวช)</w:t>
            </w:r>
          </w:p>
        </w:tc>
      </w:tr>
    </w:tbl>
    <w:p>
      <w:pPr>
        <w:spacing w:before="140"/>
      </w:pPr>
      <w:r>
        <w:rPr>
          <w:rFonts w:ascii="TH Sarabun New" w:cs="TH Sarabun New" w:eastAsia="TH Sarabun New" w:hAnsi="TH Sarabun New"/>
          <w:b w:val="false"/>
          <w:bCs w:val="false"/>
          <w:i/>
          <w:iCs/>
          <w:color w:val="808080"/>
          <w:sz w:val="24"/>
          <w:szCs w:val="24"/>
        </w:rPr>
        <w:t xml:space="preserve">หมายเหตุ: ประเมินตามหลักฐานที่มีอยู่จริง ณ มิ.ย. 2569; ส่วนที่ระบุ 'ต้องจัดทำเพิ่ม' คือช่องว่างที่ยังไม่พบเอกสารยืนยัน</w:t>
      </w:r>
    </w:p>
    <w:sectPr>
      <w:headerReference w:type="default" r:id="rId7"/>
      <w:footerReference w:type="default" r:id="rId8"/>
      <w:pgSz w:w="11906" w:h="16838" w:orient="portrait"/>
      <w:pgMar w:top="1440" w:right="1134" w:bottom="144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0"/>
        <w:szCs w:val="20"/>
      </w:rPr>
      <w:t xml:space="preserve">หน้า </w:t>
    </w:r>
    <w:r>
      <w:rPr>
        <w:rFonts w:ascii="TH Sarabun New" w:cs="TH Sarabun New" w:eastAsia="TH Sarabun New" w:hAnsi="TH Sarabun New"/>
        <w:color w:val="808080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0"/>
        <w:szCs w:val="20"/>
      </w:rPr>
      <w:t xml:space="preserve"> / </w:t>
    </w:r>
    <w:r>
      <w:rPr>
        <w:rFonts w:ascii="TH Sarabun New" w:cs="TH Sarabun New" w:eastAsia="TH Sarabun New" w:hAnsi="TH Sarabun New"/>
        <w:color w:val="808080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0"/>
        <w:szCs w:val="20"/>
      </w:rPr>
      <w:t xml:space="preserve">AACI Standard 19 · PCT จิตเวช รพ.ร้อยเอ็ด · AACI-STD19-PCT-PSY-2569-02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cs="TH Sarabun New" w:eastAsia="TH Sarabun New" w:hAnsi="TH Sarabun New"/>
        <w:sz w:val="28"/>
        <w:szCs w:val="2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  <w:outlineLvl w:val="0"/>
    </w:pPr>
    <w:rPr>
      <w:rFonts w:ascii="TH Sarabun New" w:cs="TH Sarabun New" w:eastAsia="TH Sarabun New" w:hAnsi="TH Sarabun New"/>
      <w:b/>
      <w:bCs/>
      <w:color w:val="1F4E79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70" w:before="160"/>
      <w:outlineLvl w:val="1"/>
    </w:pPr>
    <w:rPr>
      <w:rFonts w:ascii="TH Sarabun New" w:cs="TH Sarabun New" w:eastAsia="TH Sarabun New" w:hAnsi="TH Sarabun New"/>
      <w:b/>
      <w:bCs/>
      <w:color w:val="1F4E79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2026-06-03T18:05:04.454Z</dcterms:created>
  <dcterms:modified xsi:type="dcterms:W3CDTF">2026-06-03T18:05:04.455Z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