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color w:val="595959"/>
          <w:sz w:val="28"/>
          <w:szCs w:val="28"/>
        </w:rPr>
        <w:t xml:space="preserve">โรงพยาบาลร้อยเอ็ด · กลุ่มงานจิตเวชและยาเสพติด · PCT จิตเวช</w:t>
      </w:r>
    </w:p>
    <w:p>
      <w:pPr>
        <w:spacing w:after="40"/>
        <w:jc w:val="center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color w:val="1F4E79"/>
          <w:sz w:val="44"/>
          <w:szCs w:val="44"/>
        </w:rPr>
        <w:t xml:space="preserve">รายงานข้อมูลอ้างอิง PCT จิตเวช (ฉบับปรับปรุงจาก HOSxP)</w:t>
      </w:r>
    </w:p>
    <w:p>
      <w:pPr>
        <w:spacing w:after="200"/>
        <w:jc w:val="center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color w:val="595959"/>
          <w:sz w:val="30"/>
          <w:szCs w:val="30"/>
        </w:rPr>
        <w:t xml:space="preserve">ประกอบการประเมินตนเองตามมาตรฐาน AACI · ปีงบประมาณ 2564–2569</w:t>
      </w:r>
    </w:p>
    <w:p>
      <w:pPr>
        <w:pBdr>
          <w:bottom w:val="single" w:color="1F6FB2" w:sz="6" w:space="1"/>
        </w:pBdr>
        <w:spacing w:after="12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รหัสเอกสาร: DATA-PCT-PSY-2569-01</w:t>
      </w: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        วันที่ดึงข้อมูล: 3 มิ.ย. 2569</w:t>
      </w: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6"/>
          <w:szCs w:val="26"/>
        </w:rPr>
        <w:t xml:space="preserve">        สถานะ: ฉบับร่างเพื่อทบทวน</w:t>
      </w:r>
    </w:p>
    <w:p>
      <w:pPr>
        <w:pStyle w:val="Heading1"/>
        <w:spacing w:after="120" w:before="240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color w:val="1F4E79"/>
          <w:sz w:val="38"/>
          <w:szCs w:val="38"/>
        </w:rPr>
        <w:t xml:space="preserve">1. แหล่งข้อมูลและนิยาม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426"/>
      </w:tblGrid>
      <w:tr>
        <w:trPr>
          <w:tblHeader/>
        </w:trP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หัวข้อ</w:t>
            </w:r>
          </w:p>
        </w:tc>
        <w:tc>
          <w:tcPr>
            <w:tcW w:type="dxa" w:w="64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รายละเอียด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ฐานข้อมูล</w:t>
            </w:r>
          </w:p>
        </w:tc>
        <w:tc>
          <w:tcPr>
            <w:tcW w:type="dxa" w:w="64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HOSxP 192.168.77.32 ฐาน hos (MariaDB 10.3) — สำเนา/mirror สำหรับวิเคราะห์ (ไม่ใช่ production)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วิธีอ่าน</w:t>
            </w:r>
          </w:p>
        </w:tc>
        <w:tc>
          <w:tcPr>
            <w:tcW w:type="dxa" w:w="64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MySQL MCP แบบ READ-ONLY — ไม่มีการเขียน/แก้ไขฐานข้อมูล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OPD จิตเวช</w:t>
            </w:r>
          </w:p>
        </w:tc>
        <w:tc>
          <w:tcPr>
            <w:tcW w:type="dxa" w:w="64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ovst.spclty = 09 (คลินิก: สบายใจ, สีขาว, สุขภาพจิตเด็กฯ, ชุมชน, Psychosocial, ฟ้าใส, เรือนจำ)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IPD จิตเวช</w:t>
            </w:r>
          </w:p>
        </w:tc>
        <w:tc>
          <w:tcPr>
            <w:tcW w:type="dxa" w:w="64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an_stat.ward = 04 (ยังไม่รวมบ้านสวนพยอม/มินิธัญญารักษ์ ward 98/99)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ปีงบประมาณ</w:t>
            </w:r>
          </w:p>
        </w:tc>
        <w:tc>
          <w:tcPr>
            <w:tcW w:type="dxa" w:w="64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ต.ค.–ก.ย. (เช่น ปีงบ 2568 = 1 ต.ค.2567 – 30 ก.ย.2568)</w:t>
            </w:r>
          </w:p>
        </w:tc>
      </w:tr>
      <w:tr>
        <w:tc>
          <w:tcPr>
            <w:tcW w:type="dxa" w:w="26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CE4D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ข้อควรระวัง</w:t>
            </w:r>
          </w:p>
        </w:tc>
        <w:tc>
          <w:tcPr>
            <w:tcW w:type="dxa" w:w="64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CE4D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ปีงบ 2569 ยังไม่ครบปี (ดึงถึง 3 มิ.ย.69) — อย่าเทียบเต็มปีโดยตรง · ทุกค่าเป็น aggregate ไม่มี PII</w:t>
            </w:r>
          </w:p>
        </w:tc>
      </w:tr>
    </w:tbl>
    <w:p>
      <w:pPr>
        <w:pStyle w:val="Heading1"/>
        <w:spacing w:after="120" w:before="240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color w:val="1F4E79"/>
          <w:sz w:val="38"/>
          <w:szCs w:val="38"/>
        </w:rPr>
        <w:t xml:space="preserve">2. ภาพรวมภาระงาน (Workload)</w:t>
      </w:r>
    </w:p>
    <w:p>
      <w:pPr>
        <w:pStyle w:val="Heading2"/>
        <w:spacing w:after="80" w:before="160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color w:val="1F4E79"/>
          <w:sz w:val="32"/>
          <w:szCs w:val="32"/>
        </w:rPr>
        <w:t xml:space="preserve">2.1 ผู้ป่วยนอกจิตเวช (spclty 09)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26"/>
        <w:gridCol w:w="3000"/>
        <w:gridCol w:w="3000"/>
      </w:tblGrid>
      <w:tr>
        <w:trPr>
          <w:tblHeader/>
        </w:trPr>
        <w:tc>
          <w:tcPr>
            <w:tcW w:type="dxa" w:w="3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ปีงบ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จำนวนครั้ง (visits)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ผู้ป่วยไม่ซ้ำ (HN)</w:t>
            </w:r>
          </w:p>
        </w:tc>
      </w:tr>
      <w:tr>
        <w:tc>
          <w:tcPr>
            <w:tcW w:type="dxa" w:w="3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2564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31,061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9,391</w:t>
            </w:r>
          </w:p>
        </w:tc>
      </w:tr>
      <w:tr>
        <w:tc>
          <w:tcPr>
            <w:tcW w:type="dxa" w:w="3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2565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31,251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9,602</w:t>
            </w:r>
          </w:p>
        </w:tc>
      </w:tr>
      <w:tr>
        <w:tc>
          <w:tcPr>
            <w:tcW w:type="dxa" w:w="3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2566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31,882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10,414</w:t>
            </w:r>
          </w:p>
        </w:tc>
      </w:tr>
      <w:tr>
        <w:tc>
          <w:tcPr>
            <w:tcW w:type="dxa" w:w="3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2567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34,701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11,120</w:t>
            </w:r>
          </w:p>
        </w:tc>
      </w:tr>
      <w:tr>
        <w:tc>
          <w:tcPr>
            <w:tcW w:type="dxa" w:w="3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2568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40,158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11,741</w:t>
            </w:r>
          </w:p>
        </w:tc>
      </w:tr>
      <w:tr>
        <w:tc>
          <w:tcPr>
            <w:tcW w:type="dxa" w:w="3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2569 (YTD)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28,513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10,250</w:t>
            </w:r>
          </w:p>
        </w:tc>
      </w:tr>
    </w:tbl>
    <w:p>
      <w:pPr>
        <w:spacing w:after="60" w:before="60"/>
      </w:pPr>
      <w:r>
        <w:rPr>
          <w:rFonts w:ascii="TH Sarabun New" w:cs="TH Sarabun New" w:eastAsia="TH Sarabun New" w:hAnsi="TH Sarabun New"/>
          <w:b w:val="false"/>
          <w:bCs w:val="false"/>
          <w:i/>
          <w:iCs/>
          <w:sz w:val="28"/>
          <w:szCs w:val="28"/>
        </w:rPr>
        <w:t xml:space="preserve">แนวโน้ม visit เพิ่มต่อเนื่อง โดยเฉพาะปี 2568 (40,158 ครั้ง, +15.7% จากปี 2567)</w:t>
      </w:r>
    </w:p>
    <w:p>
      <w:pPr>
        <w:pStyle w:val="Heading2"/>
        <w:spacing w:after="80" w:before="160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color w:val="1F4E79"/>
          <w:sz w:val="32"/>
          <w:szCs w:val="32"/>
        </w:rPr>
        <w:t xml:space="preserve">2.2 ผู้ป่วยในจิตเวช (ward 04)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26"/>
        <w:gridCol w:w="3000"/>
        <w:gridCol w:w="3000"/>
      </w:tblGrid>
      <w:tr>
        <w:trPr>
          <w:tblHeader/>
        </w:trPr>
        <w:tc>
          <w:tcPr>
            <w:tcW w:type="dxa" w:w="3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ปีงบ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จำนวน admit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LOS เฉลี่ย (วัน)</w:t>
            </w:r>
          </w:p>
        </w:tc>
      </w:tr>
      <w:tr>
        <w:tc>
          <w:tcPr>
            <w:tcW w:type="dxa" w:w="3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2564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1,055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11.64</w:t>
            </w:r>
          </w:p>
        </w:tc>
      </w:tr>
      <w:tr>
        <w:tc>
          <w:tcPr>
            <w:tcW w:type="dxa" w:w="3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2565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1,092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8.76</w:t>
            </w:r>
          </w:p>
        </w:tc>
      </w:tr>
      <w:tr>
        <w:tc>
          <w:tcPr>
            <w:tcW w:type="dxa" w:w="3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2566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1,181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11.49</w:t>
            </w:r>
          </w:p>
        </w:tc>
      </w:tr>
      <w:tr>
        <w:tc>
          <w:tcPr>
            <w:tcW w:type="dxa" w:w="3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2567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1,351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13.24</w:t>
            </w:r>
          </w:p>
        </w:tc>
      </w:tr>
      <w:tr>
        <w:tc>
          <w:tcPr>
            <w:tcW w:type="dxa" w:w="3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2568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1,318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11.50</w:t>
            </w:r>
          </w:p>
        </w:tc>
      </w:tr>
      <w:tr>
        <w:tc>
          <w:tcPr>
            <w:tcW w:type="dxa" w:w="3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2569 (YTD)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964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9.79</w:t>
            </w:r>
          </w:p>
        </w:tc>
      </w:tr>
    </w:tbl>
    <w:p>
      <w:pPr>
        <w:pStyle w:val="Heading1"/>
        <w:spacing w:after="120" w:before="240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color w:val="1F4E79"/>
          <w:sz w:val="38"/>
          <w:szCs w:val="38"/>
        </w:rPr>
        <w:t xml:space="preserve">3. 5 อันดับกลุ่มโรค — แก้ให้ตรงข้อมูลจริง</w:t>
      </w:r>
    </w:p>
    <w:p>
      <w:pPr>
        <w:spacing w:after="60" w:before="0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color w:val="C00000"/>
          <w:sz w:val="30"/>
          <w:szCs w:val="30"/>
        </w:rPr>
        <w:t xml:space="preserve">สำคัญ: </w:t>
      </w: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30"/>
          <w:szCs w:val="30"/>
        </w:rPr>
        <w:t xml:space="preserve">รายการ 5 อันดับโรคในเอกสารเดิมไม่ตรง/สลับลำดับกับข้อมูลจริง ควรแก้ตามตารางด้านล่าง (อ้างอิงปีงบ 2568 ซึ่งข้อมูลครบปีและมีวินิจฉัยหลัก OPD 98.8%, IPD 100%)</w:t>
      </w:r>
    </w:p>
    <w:p>
      <w:pPr>
        <w:pStyle w:val="Heading2"/>
        <w:spacing w:after="80" w:before="160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color w:val="1F4E79"/>
          <w:sz w:val="32"/>
          <w:szCs w:val="32"/>
        </w:rPr>
        <w:t xml:space="preserve">3.1 ผู้ป่วยใน (ward 04) ปีงบ 2568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4926"/>
        <w:gridCol w:w="1500"/>
        <w:gridCol w:w="1500"/>
      </w:tblGrid>
      <w:tr>
        <w:trPr>
          <w:tblHeader/>
        </w:trPr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อันดับ</w:t>
            </w:r>
          </w:p>
        </w:tc>
        <w:tc>
          <w:tcPr>
            <w:tcW w:type="dxa" w:w="49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กลุ่มโรค (ICD 3 หลัก)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admit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ผู้ป่วย</w:t>
            </w:r>
          </w:p>
        </w:tc>
      </w:tr>
      <w:tr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F20 Schizophrenia (จิตเภท)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519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374</w:t>
            </w:r>
          </w:p>
        </w:tc>
      </w:tr>
      <w:tr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49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F15 สารกระตุ้น/ยาบ้า (incl. caffeine)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274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244</w:t>
            </w:r>
          </w:p>
        </w:tc>
      </w:tr>
      <w:tr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49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F19 สารออกฤทธิ์หลายชนิด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211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192</w:t>
            </w:r>
          </w:p>
        </w:tc>
      </w:tr>
      <w:tr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49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F32 Depressive episode (ซึมเศร้า)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99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78</w:t>
            </w:r>
          </w:p>
        </w:tc>
      </w:tr>
      <w:tr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49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F10 แอลกอฮอล์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75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69</w:t>
            </w:r>
          </w:p>
        </w:tc>
      </w:tr>
    </w:tbl>
    <w:p>
      <w:pPr>
        <w:spacing w:after="60" w:before="0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sz w:val="28"/>
          <w:szCs w:val="28"/>
        </w:rPr>
        <w:t xml:space="preserve">โรคหลัก (ICD เต็ม) บ่อยสุด IPD 2568: </w:t>
      </w: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8"/>
          <w:szCs w:val="28"/>
        </w:rPr>
        <w:t xml:space="preserve">F200 Paranoid schizophrenia 449, F155 stimulant psychotic 255, F195 multiple-drug psychotic 198, F322 severe depression 56, F105 alcohol psychotic 44</w:t>
      </w:r>
    </w:p>
    <w:p>
      <w:pPr>
        <w:spacing w:after="60" w:before="0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color w:val="C00000"/>
          <w:sz w:val="28"/>
          <w:szCs w:val="28"/>
        </w:rPr>
        <w:t xml:space="preserve">เอกสารเดิมเขียน: </w:t>
      </w: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8"/>
          <w:szCs w:val="28"/>
        </w:rPr>
        <w:t xml:space="preserve">"Schizophrenia unspecified / Caffeine psychotic / Paranoid schizophrenia / Other psychoactive / Alcohol psychotic" — ของจริง Paranoid schizophrenia (F200) เป็นอันดับ 1 ขาดลอย, "Schizophrenia unspecified" (F209) มีเพียง ~34 ราย, และตกกลุ่มซึมเศร้า (F32)</w:t>
      </w:r>
    </w:p>
    <w:p>
      <w:pPr>
        <w:pStyle w:val="Heading2"/>
        <w:spacing w:after="80" w:before="160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color w:val="1F4E79"/>
          <w:sz w:val="32"/>
          <w:szCs w:val="32"/>
        </w:rPr>
        <w:t xml:space="preserve">3.2 ผู้ป่วยนอก (spclty 09) ปีงบ 2568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4926"/>
        <w:gridCol w:w="1500"/>
        <w:gridCol w:w="1500"/>
      </w:tblGrid>
      <w:tr>
        <w:trPr>
          <w:tblHeader/>
        </w:trPr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อันดับ</w:t>
            </w:r>
          </w:p>
        </w:tc>
        <w:tc>
          <w:tcPr>
            <w:tcW w:type="dxa" w:w="49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กลุ่มโรค (ICD 3 หลัก)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visits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ผู้ป่วย</w:t>
            </w:r>
          </w:p>
        </w:tc>
      </w:tr>
      <w:tr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F20 Schizophrenia (จิตเภท)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7,925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2,431</w:t>
            </w:r>
          </w:p>
        </w:tc>
      </w:tr>
      <w:tr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49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F15 สารกระตุ้น/ยาบ้า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6,444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1,447</w:t>
            </w:r>
          </w:p>
        </w:tc>
      </w:tr>
      <w:tr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49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F90 ADHD (สมาธิสั้น)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4,514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1,271</w:t>
            </w:r>
          </w:p>
        </w:tc>
      </w:tr>
      <w:tr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49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F32 Depressive episode (ซึมเศร้า)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4,410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1,246</w:t>
            </w:r>
          </w:p>
        </w:tc>
      </w:tr>
      <w:tr>
        <w:tc>
          <w:tcPr>
            <w:tcW w:type="dxa" w:w="11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49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F41 Anxiety (วิตกกังวล)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4,336</w:t>
            </w:r>
          </w:p>
        </w:tc>
        <w:tc>
          <w:tcPr>
            <w:tcW w:type="dxa" w:w="1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1,517</w:t>
            </w:r>
          </w:p>
        </w:tc>
      </w:tr>
    </w:tbl>
    <w:p>
      <w:pPr>
        <w:spacing w:after="60" w:before="0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sz w:val="28"/>
          <w:szCs w:val="28"/>
        </w:rPr>
        <w:t xml:space="preserve">โรคหลัก (ICD เต็ม) บ่อยสุด OPD 2568: </w:t>
      </w: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8"/>
          <w:szCs w:val="28"/>
        </w:rPr>
        <w:t xml:space="preserve">F1520 ผู้ติดสารกระตุ้น/ยาบ้า ระยะหยุดใช้ 4,802, F900 ADHD 4,469, F2000 Paranoid schizophrenia continuous 2,546, F419 Anxiety 2,460, F2050 Residual schizophrenia continuous 1,875</w:t>
      </w:r>
    </w:p>
    <w:p>
      <w:pPr>
        <w:spacing w:after="60" w:before="0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color w:val="C00000"/>
          <w:sz w:val="28"/>
          <w:szCs w:val="28"/>
        </w:rPr>
        <w:t xml:space="preserve">เอกสารเดิมเขียน: </w:t>
      </w: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8"/>
          <w:szCs w:val="28"/>
        </w:rPr>
        <w:t xml:space="preserve">"Residual schizophrenia / Continuous / Anxiety unspecified / Unspecified nonorganic psychosis (ซ้ำ) / ADHD" — ตกกลุ่มยาบ้า/สารกระตุ้น (F15) ซึ่งเป็นภาระงานอันดับต้น และมี ICD ซ้ำ/ตกหล่น</w:t>
      </w:r>
    </w:p>
    <w:p>
      <w:pPr>
        <w:pStyle w:val="Heading1"/>
        <w:spacing w:after="120" w:before="240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color w:val="1F4E79"/>
          <w:sz w:val="38"/>
          <w:szCs w:val="38"/>
        </w:rPr>
        <w:t xml:space="preserve">4. อัตรา Re-admit ภายใน 28 วัน (ward 04)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26"/>
        <w:gridCol w:w="2200"/>
        <w:gridCol w:w="2200"/>
        <w:gridCol w:w="2200"/>
      </w:tblGrid>
      <w:tr>
        <w:trPr>
          <w:tblHeader/>
        </w:trPr>
        <w:tc>
          <w:tcPr>
            <w:tcW w:type="dxa" w:w="24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ปีงบ (วันจำหน่าย)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จำหน่าย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re-admit ≤28 วัน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อัตรา (%)</w:t>
            </w:r>
          </w:p>
        </w:tc>
      </w:tr>
      <w:tr>
        <w:tc>
          <w:tcPr>
            <w:tcW w:type="dxa" w:w="24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2564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1,061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61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5.75</w:t>
            </w:r>
          </w:p>
        </w:tc>
      </w:tr>
      <w:tr>
        <w:tc>
          <w:tcPr>
            <w:tcW w:type="dxa" w:w="24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2565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1,095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71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6.48</w:t>
            </w:r>
          </w:p>
        </w:tc>
      </w:tr>
      <w:tr>
        <w:tc>
          <w:tcPr>
            <w:tcW w:type="dxa" w:w="24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2566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1,165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82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7.04</w:t>
            </w:r>
          </w:p>
        </w:tc>
      </w:tr>
      <w:tr>
        <w:tc>
          <w:tcPr>
            <w:tcW w:type="dxa" w:w="24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2567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1,358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126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9.28</w:t>
            </w:r>
          </w:p>
        </w:tc>
      </w:tr>
      <w:tr>
        <w:tc>
          <w:tcPr>
            <w:tcW w:type="dxa" w:w="24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2568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1,317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124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9.42</w:t>
            </w:r>
          </w:p>
        </w:tc>
      </w:tr>
      <w:tr>
        <w:tc>
          <w:tcPr>
            <w:tcW w:type="dxa" w:w="24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8D7D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2569 (YTD)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8D7D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972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8D7D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100</w:t>
            </w:r>
          </w:p>
        </w:tc>
        <w:tc>
          <w:tcPr>
            <w:tcW w:type="dxa" w:w="2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8D7D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righ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10.29</w:t>
            </w:r>
          </w:p>
        </w:tc>
      </w:tr>
    </w:tbl>
    <w:p>
      <w:pPr>
        <w:spacing w:after="60" w:before="0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sz w:val="28"/>
          <w:szCs w:val="28"/>
        </w:rPr>
        <w:t xml:space="preserve">นิยามที่ใช้: </w:t>
      </w: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8"/>
          <w:szCs w:val="28"/>
        </w:rPr>
        <w:t xml:space="preserve">re-admit เข้าหอจิตเวช (04→04) ภายใน 28 วันหลังจำหน่าย แบบ "ทุกสาเหตุ (all-cause)"</w:t>
      </w:r>
    </w:p>
    <w:p>
      <w:pPr>
        <w:spacing w:after="60" w:before="0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color w:val="C00000"/>
          <w:sz w:val="28"/>
          <w:szCs w:val="28"/>
        </w:rPr>
        <w:t xml:space="preserve">ข้อจำกัด (สำคัญ): </w:t>
      </w: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8"/>
          <w:szCs w:val="28"/>
        </w:rPr>
        <w:t xml:space="preserve">ฐานนี้ไม่มีตัวระบุ "admit แบบมีแผน" (plan_admit/ipt_admit_type = NULL) และ ECT (รหัส 94.27) ไม่ถูกบันทึกในหัตถการ จึง "แยก unplanned ไม่ได้" — เอกสารเดิม (4.40–6.08) น่าจะนับเฉพาะ unplanned ตัวเลข all-cause จึงสูงกว่าตามจริง</w:t>
      </w:r>
    </w:p>
    <w:p>
      <w:pPr>
        <w:spacing w:after="60" w:before="0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sz w:val="28"/>
          <w:szCs w:val="28"/>
        </w:rPr>
        <w:t xml:space="preserve">ข้อสังเกตเชิงคุณภาพ: </w:t>
      </w: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color w:val="C00000"/>
          <w:sz w:val="28"/>
          <w:szCs w:val="28"/>
        </w:rPr>
        <w:t xml:space="preserve">แนวโน้มเพิ่มขึ้นต่อเนื่อง 5.75% → 10.29% และปี 2569 (YTD) แตะ/เกินเป้า &lt; 10% — ควรหยิบเป็นประเด็นพัฒนา/RCA</w:t>
      </w:r>
    </w:p>
    <w:p>
      <w:pPr>
        <w:pStyle w:val="Heading1"/>
        <w:spacing w:after="120" w:before="240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color w:val="1F4E79"/>
          <w:sz w:val="38"/>
          <w:szCs w:val="38"/>
        </w:rPr>
        <w:t xml:space="preserve">5. ตัวชี้วัด ↔ แหล่งข้อมูล (ตรวจแล้วด้วยหลักฐาน)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26"/>
        <w:gridCol w:w="1700"/>
        <w:gridCol w:w="3700"/>
      </w:tblGrid>
      <w:tr>
        <w:trPr>
          <w:tblHeader/>
        </w:trPr>
        <w:tc>
          <w:tcPr>
            <w:tcW w:type="dxa" w:w="36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ตัวชี้วัด</w:t>
            </w:r>
          </w:p>
        </w:tc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สถานะ</w:t>
            </w:r>
          </w:p>
        </w:tc>
        <w:tc>
          <w:tcPr>
            <w:tcW w:type="dxa" w:w="3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1F6FB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แหล่ง/หมายเหตุ</w:t>
            </w:r>
          </w:p>
        </w:tc>
      </w:tr>
      <w:tr>
        <w:tc>
          <w:tcPr>
            <w:tcW w:type="dxa" w:w="36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E2EFD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 อันดับโรค OPD/IPD</w:t>
            </w:r>
          </w:p>
        </w:tc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E2EFD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✅ HOSxP</w:t>
            </w:r>
          </w:p>
        </w:tc>
        <w:tc>
          <w:tcPr>
            <w:tcW w:type="dxa" w:w="3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E2EFD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ovst+ovstdiag / an_stat (วินิจฉัยหลัก)</w:t>
            </w:r>
          </w:p>
        </w:tc>
      </w:tr>
      <w:tr>
        <w:tc>
          <w:tcPr>
            <w:tcW w:type="dxa" w:w="36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E2EFD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จำนวน visit/admit, LOS</w:t>
            </w:r>
          </w:p>
        </w:tc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E2EFD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✅ HOSxP</w:t>
            </w:r>
          </w:p>
        </w:tc>
        <w:tc>
          <w:tcPr>
            <w:tcW w:type="dxa" w:w="3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E2EFD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ovst, an_stat</w:t>
            </w:r>
          </w:p>
        </w:tc>
      </w:tr>
      <w:tr>
        <w:tc>
          <w:tcPr>
            <w:tcW w:type="dxa" w:w="36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E2EFD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Re-admit 28 วัน (all-cause)</w:t>
            </w:r>
          </w:p>
        </w:tc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E2EFD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✅ HOSxP</w:t>
            </w:r>
          </w:p>
        </w:tc>
        <w:tc>
          <w:tcPr>
            <w:tcW w:type="dxa" w:w="3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E2EFD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an_stat (HN ซ้ำ ≤28 วัน)</w:t>
            </w:r>
          </w:p>
        </w:tc>
      </w:tr>
      <w:tr>
        <w:tc>
          <w:tcPr>
            <w:tcW w:type="dxa" w:w="36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8D7D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Re-admit 28 วัน (unplanned)</w:t>
            </w:r>
          </w:p>
        </w:tc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8D7D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❌ ดึงไม่ได้</w:t>
            </w:r>
          </w:p>
        </w:tc>
        <w:tc>
          <w:tcPr>
            <w:tcW w:type="dxa" w:w="3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8D7D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ฐานไม่บันทึก plan_admit/ECT — ต้องกำหนดนิยาม+เก็บเพิ่ม</w:t>
            </w:r>
          </w:p>
        </w:tc>
      </w:tr>
      <w:tr>
        <w:tc>
          <w:tcPr>
            <w:tcW w:type="dxa" w:w="36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8D7D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ความพึงพอใจ OPD/IPD</w:t>
            </w:r>
          </w:p>
        </w:tc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8D7D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❌ ไม่อยู่ใน HOSxP</w:t>
            </w:r>
          </w:p>
        </w:tc>
        <w:tc>
          <w:tcPr>
            <w:tcW w:type="dxa" w:w="3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8D7D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dis_satisfied = ว่าง → แบบสำรวจ/งานคุณภาพ</w:t>
            </w:r>
          </w:p>
        </w:tc>
      </w:tr>
      <w:tr>
        <w:tc>
          <w:tcPr>
            <w:tcW w:type="dxa" w:w="36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8D7D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พฤติกรรมรุนแรง/ทำร้ายตน-ผู้อื่น/ทำลายของ</w:t>
            </w:r>
          </w:p>
        </w:tc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8D7D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❌ ไม่อยู่ใน HOSxP</w:t>
            </w:r>
          </w:p>
        </w:tc>
        <w:tc>
          <w:tcPr>
            <w:tcW w:type="dxa" w:w="3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8D7D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bms_risk_incident = ว่าง → ระบบ IR / บันทึกหอ / Telemind</w:t>
            </w:r>
          </w:p>
        </w:tc>
      </w:tr>
      <w:tr>
        <w:tc>
          <w:tcPr>
            <w:tcW w:type="dxa" w:w="36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8D7D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Unplanned ICU / Unplanned intubation</w:t>
            </w:r>
          </w:p>
        </w:tc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8D7D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❌ ไม่อยู่ใน HOSxP</w:t>
            </w:r>
          </w:p>
        </w:tc>
        <w:tc>
          <w:tcPr>
            <w:tcW w:type="dxa" w:w="3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8D7D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ระบบรายงานอุบัติการณ์ (IR)</w:t>
            </w:r>
          </w:p>
        </w:tc>
      </w:tr>
      <w:tr>
        <w:tc>
          <w:tcPr>
            <w:tcW w:type="dxa" w:w="36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CE4D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ระยะเวลารอคอย OPD &lt; 120 นาที</w:t>
            </w:r>
          </w:p>
        </w:tc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CE4D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◐ ต้องตรวจ</w:t>
            </w:r>
          </w:p>
        </w:tc>
        <w:tc>
          <w:tcPr>
            <w:tcW w:type="dxa" w:w="3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CE4D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ระบบคิว (queue timestamp) — ตรวจความครบก่อน</w:t>
            </w:r>
          </w:p>
        </w:tc>
      </w:tr>
      <w:tr>
        <w:tc>
          <w:tcPr>
            <w:tcW w:type="dxa" w:w="36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CE4D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เข้าถึงซึมเศร้า / ADHD / SMI-V</w:t>
            </w:r>
          </w:p>
        </w:tc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CE4D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◐ ตัวตั้งบางส่วน</w:t>
            </w:r>
          </w:p>
        </w:tc>
        <w:tc>
          <w:tcPr>
            <w:tcW w:type="dxa" w:w="3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CE4D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ตัวหารจาก HDC (nemo_hdc ว่างในเครื่องนี้) → ระบบ HDC</w:t>
            </w:r>
          </w:p>
        </w:tc>
      </w:tr>
      <w:tr>
        <w:tc>
          <w:tcPr>
            <w:tcW w:type="dxa" w:w="36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CE4D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Retention rate ยาเสพติด</w:t>
            </w:r>
          </w:p>
        </w:tc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CE4D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◐</w:t>
            </w:r>
          </w:p>
        </w:tc>
        <w:tc>
          <w:tcPr>
            <w:tcW w:type="dxa" w:w="3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CE4D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ระบบ บสต./ยาเสพติด (บสต.3/NSF)</w:t>
            </w:r>
          </w:p>
        </w:tc>
      </w:tr>
      <w:tr>
        <w:tc>
          <w:tcPr>
            <w:tcW w:type="dxa" w:w="36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8D7D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สุขภาพจิตศึกษา (ร้อยละ)</w:t>
            </w:r>
          </w:p>
        </w:tc>
        <w:tc>
          <w:tcPr>
            <w:tcW w:type="dxa" w:w="1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8D7D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❌ ไม่อยู่ใน HOSxP</w:t>
            </w:r>
          </w:p>
        </w:tc>
        <w:tc>
          <w:tcPr>
            <w:tcW w:type="dxa" w:w="37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8D7DA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ทะเบียนกิจกรรมสุขภาพจิตศึกษา</w:t>
            </w:r>
          </w:p>
        </w:tc>
      </w:tr>
    </w:tbl>
    <w:p>
      <w:pPr>
        <w:pStyle w:val="Heading1"/>
        <w:spacing w:after="120" w:before="240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color w:val="1F4E79"/>
          <w:sz w:val="38"/>
          <w:szCs w:val="38"/>
        </w:rPr>
        <w:t xml:space="preserve">6. สิ่งที่ควรแก้ในเอกสารประเมินตนเองเดิม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30"/>
          <w:szCs w:val="30"/>
        </w:rPr>
        <w:t xml:space="preserve">แก้ 5 อันดับโรค OPD และ IPD ให้ตรงข้อ 3 (เพิ่มกลุ่มยาเสพติด F15/F19 และ ADHD/ซึมเศร้า ตัดรายการซ้ำ/ตกหล่น)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30"/>
          <w:szCs w:val="30"/>
        </w:rPr>
        <w:t xml:space="preserve">เติมตัวเลขภาระงาน (visit, admit, LOS) ครบปี 2564–2569 ตามข้อ 2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30"/>
          <w:szCs w:val="30"/>
        </w:rPr>
        <w:t xml:space="preserve">Re-admit 28 วัน: ตกลงนิยาม (all-cause vs unplanned) ก่อนใส่ตัวเลข; แนวโน้มสูงขึ้น ควรเป็นประเด็นพัฒนา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30"/>
          <w:szCs w:val="30"/>
        </w:rPr>
        <w:t xml:space="preserve">ตัวชี้วัดในข้อ 5 ที่ไม่อยู่ใน HOSxP: ใส่ "แหล่งข้อมูล" กำกับทุกตัว และยืนยันค่าจากแหล่งจริง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30"/>
          <w:szCs w:val="30"/>
        </w:rPr>
        <w:t xml:space="preserve">ข้อมูลโครงสร้าง (30 เตียง, อัตรากำลัง) เป็นข้อเท็จจริงเชิงโครงสร้าง ให้ทีมยืนยันแยก ไม่ได้มาจาก HOSxP</w:t>
      </w:r>
    </w:p>
    <w:p>
      <w:pPr>
        <w:pStyle w:val="Heading1"/>
        <w:spacing w:after="120" w:before="240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color w:val="1F4E79"/>
          <w:sz w:val="38"/>
          <w:szCs w:val="38"/>
        </w:rPr>
        <w:t xml:space="preserve">7. ภาคผนวก — นิยาม/วิธีคำนวณ (ทำซ้ำได้)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8"/>
          <w:szCs w:val="28"/>
        </w:rPr>
        <w:t xml:space="preserve">OPD จิตเวช: ovst.spclty='09'; visit = COUNT(DISTINCT vn); ผู้ป่วย = COUNT(DISTINCT hn)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8"/>
          <w:szCs w:val="28"/>
        </w:rPr>
        <w:t xml:space="preserve">IPD จิตเวช: an_stat.ward='04'; LOS = DATEDIFF(dchdate, regdate)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8"/>
          <w:szCs w:val="28"/>
        </w:rPr>
        <w:t xml:space="preserve">ปีงบ (พ.ศ.): YEAR(date)+543+IF(MONTH(date)&gt;=10,1,0)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8"/>
          <w:szCs w:val="28"/>
        </w:rPr>
        <w:t xml:space="preserve">5 อันดับโรค: OPD ใช้ ovstdiag.diagtype='1' (วินิจฉัยหลัก), IPD ใช้ an_stat.pdx; กลุ่มโรค = LEFT(icd,3); ชื่อโรคจาก icd101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8"/>
          <w:szCs w:val="28"/>
        </w:rPr>
        <w:t xml:space="preserve">Re-admit 28 วัน: มี admit ward 04 ของ HN เดิม regdate ถัดมาภายใน 28 วันหลัง dchdate</w:t>
      </w:r>
    </w:p>
    <w:p>
      <w:pPr>
        <w:pStyle w:val="ListParagraph"/>
        <w:numPr>
          <w:ilvl w:val="0"/>
          <w:numId w:val="3"/>
        </w:numPr>
        <w:spacing w:after="50"/>
      </w:pPr>
      <w:r>
        <w:rPr>
          <w:rFonts w:ascii="TH Sarabun New" w:cs="TH Sarabun New" w:eastAsia="TH Sarabun New" w:hAnsi="TH Sarabun New"/>
          <w:b w:val="false"/>
          <w:bCs w:val="false"/>
          <w:i w:val="false"/>
          <w:iCs w:val="false"/>
          <w:sz w:val="28"/>
          <w:szCs w:val="28"/>
        </w:rPr>
        <w:t xml:space="preserve">หมายเหตุข้อมูล: ปีงบ 2569 IPD มี pdx ว่าง 113 ราย (ยังไม่สรุป/ยัง admit) — กระทบการนับเฉพาะปี 2569</w:t>
      </w:r>
    </w:p>
    <w:p>
      <w:pPr>
        <w:spacing w:after="100" w:before="280"/>
      </w:pPr>
      <w:r>
        <w:rPr>
          <w:rFonts w:ascii="TH Sarabun New" w:cs="TH Sarabun New" w:eastAsia="TH Sarabun New" w:hAnsi="TH Sarabun New"/>
          <w:b/>
          <w:bCs/>
          <w:i w:val="false"/>
          <w:iCs w:val="false"/>
          <w:color w:val="1F4E79"/>
          <w:sz w:val="30"/>
          <w:szCs w:val="30"/>
        </w:rPr>
        <w:t xml:space="preserve">ผู้จัดทำ / ผู้ตรวจสอบ / ผู้อนุมัติ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9"/>
        <w:gridCol w:w="3009"/>
      </w:tblGrid>
      <w:tr>
        <w:tc>
          <w:tcPr>
            <w:tcW w:type="dxa" w:w="30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ผู้จัดทำข้อมูล (Cowork — อ่านฐานอย่างเดียว)</w:t>
            </w:r>
          </w:p>
        </w:tc>
        <w:tc>
          <w:tcPr>
            <w:tcW w:type="dxa" w:w="30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ผู้ตรวจสอบ</w:t>
            </w:r>
          </w:p>
        </w:tc>
        <w:tc>
          <w:tcPr>
            <w:tcW w:type="dxa" w:w="300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/>
            </w:r>
          </w:p>
          <w:p>
            <w:pPr>
              <w:spacing w:after="0"/>
              <w:jc w:val="center"/>
            </w:pPr>
            <w:r>
              <w:rPr>
                <w:rFonts w:ascii="TH Sarabun New" w:cs="TH Sarabun New" w:eastAsia="TH Sarabun New" w:hAnsi="TH Sarabun New"/>
                <w:b w:val="false"/>
                <w:bCs w:val="false"/>
                <w:i w:val="false"/>
                <w:iCs w:val="false"/>
                <w:sz w:val="26"/>
                <w:szCs w:val="26"/>
              </w:rPr>
              <w:t xml:space="preserve">ผู้อนุมัติ: นพ.ธงชัย เสรีรัตน์ (ประธาน PCT จิตเวช)</w:t>
            </w:r>
          </w:p>
        </w:tc>
      </w:tr>
    </w:tbl>
    <w:p>
      <w:pPr>
        <w:spacing w:before="160"/>
      </w:pPr>
      <w:r>
        <w:rPr>
          <w:rFonts w:ascii="TH Sarabun New" w:cs="TH Sarabun New" w:eastAsia="TH Sarabun New" w:hAnsi="TH Sarabun New"/>
          <w:b w:val="false"/>
          <w:bCs w:val="false"/>
          <w:i/>
          <w:iCs/>
          <w:color w:val="808080"/>
          <w:sz w:val="26"/>
          <w:szCs w:val="26"/>
        </w:rPr>
        <w:t xml:space="preserve">หมายเหตุ: ไฟล์นี้เป็นสำเนาทำงานใหม่ ไม่ได้แก้ไขไฟล์ต้นฉบับของพยาบาล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H Sarabun New" w:cs="TH Sarabun New" w:eastAsia="TH Sarabun New" w:hAnsi="TH Sarabun New"/>
        <w:b w:val="false"/>
        <w:bCs w:val="false"/>
        <w:i w:val="false"/>
        <w:iCs w:val="false"/>
        <w:color w:val="808080"/>
        <w:sz w:val="22"/>
        <w:szCs w:val="22"/>
      </w:rPr>
      <w:t xml:space="preserve">หน้า </w:t>
    </w:r>
    <w:r>
      <w:rPr>
        <w:rFonts w:ascii="TH Sarabun New" w:cs="TH Sarabun New" w:eastAsia="TH Sarabun New" w:hAnsi="TH Sarabun New"/>
        <w:color w:val="808080"/>
        <w:sz w:val="22"/>
        <w:szCs w:val="22"/>
      </w:rPr>
      <w:fldChar w:fldCharType="begin"/>
      <w:instrText xml:space="preserve">PAGE</w:instrText>
      <w:fldChar w:fldCharType="separate"/>
      <w:fldChar w:fldCharType="end"/>
    </w:r>
    <w:r>
      <w:rPr>
        <w:rFonts w:ascii="TH Sarabun New" w:cs="TH Sarabun New" w:eastAsia="TH Sarabun New" w:hAnsi="TH Sarabun New"/>
        <w:b w:val="false"/>
        <w:bCs w:val="false"/>
        <w:i w:val="false"/>
        <w:iCs w:val="false"/>
        <w:color w:val="808080"/>
        <w:sz w:val="22"/>
        <w:szCs w:val="22"/>
      </w:rPr>
      <w:t xml:space="preserve"> / </w:t>
    </w:r>
    <w:r>
      <w:rPr>
        <w:rFonts w:ascii="TH Sarabun New" w:cs="TH Sarabun New" w:eastAsia="TH Sarabun New" w:hAnsi="TH Sarabun New"/>
        <w:color w:val="808080"/>
        <w:sz w:val="22"/>
        <w:szCs w:val="22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TH Sarabun New" w:cs="TH Sarabun New" w:eastAsia="TH Sarabun New" w:hAnsi="TH Sarabun New"/>
        <w:b w:val="false"/>
        <w:bCs w:val="false"/>
        <w:i w:val="false"/>
        <w:iCs w:val="false"/>
        <w:color w:val="808080"/>
        <w:sz w:val="22"/>
        <w:szCs w:val="22"/>
      </w:rPr>
      <w:t xml:space="preserve">PCT จิตเวช รพ.ร้อยเอ็ด · DATA-PCT-PSY-2569-01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 New" w:cs="TH Sarabun New" w:eastAsia="TH Sarabun New" w:hAnsi="TH Sarabun New"/>
        <w:sz w:val="30"/>
        <w:szCs w:val="3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TH Sarabun New" w:cs="TH Sarabun New" w:eastAsia="TH Sarabun New" w:hAnsi="TH Sarabun New"/>
      <w:b/>
      <w:bCs/>
      <w:color w:val="1F4E79"/>
      <w:sz w:val="38"/>
      <w:szCs w:val="38"/>
    </w:rPr>
  </w:style>
  <w:style w:type="paragraph" w:styleId="Heading2">
    <w:name w:val="Heading 2"/>
    <w:basedOn w:val="Normal"/>
    <w:next w:val="Normal"/>
    <w:qFormat/>
    <w:pPr>
      <w:spacing w:after="80" w:before="160"/>
      <w:outlineLvl w:val="1"/>
    </w:pPr>
    <w:rPr>
      <w:rFonts w:ascii="TH Sarabun New" w:cs="TH Sarabun New" w:eastAsia="TH Sarabun New" w:hAnsi="TH Sarabun New"/>
      <w:b/>
      <w:bCs/>
      <w:color w:val="1F4E79"/>
      <w:sz w:val="32"/>
      <w:szCs w:val="3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2026-06-03T16:16:57.394Z</dcterms:created>
  <dcterms:modified xsi:type="dcterms:W3CDTF">2026-06-03T16:16:57.394Z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