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  <w:jc w:val="center"/>
      </w:pPr>
      <w:r>
        <w:rPr>
          <w:rFonts w:ascii="TH SarabunPSK" w:cs="TH SarabunPSK" w:eastAsia="TH SarabunPSK" w:hAnsi="TH SarabunPSK"/>
          <w:b/>
          <w:bCs/>
          <w:i w:val="false"/>
          <w:iCs w:val="false"/>
          <w:sz w:val="40"/>
          <w:szCs w:val="40"/>
        </w:rPr>
        <w:t xml:space="preserve">แบบคัดกรองผู้ป่วยกลุ่มเสี่ยงสูง 4 มิติ</w:t>
      </w:r>
    </w:p>
    <w:p>
      <w:pPr>
        <w:spacing w:after="40" w:before="0"/>
        <w:jc w:val="center"/>
      </w:pPr>
      <w:r>
        <w:rPr>
          <w:rFonts w:ascii="TH SarabunPSK" w:cs="TH SarabunPSK" w:eastAsia="TH SarabunPSK" w:hAnsi="TH SarabunPSK"/>
          <w:b/>
          <w:bCs/>
          <w:i w:val="false"/>
          <w:iCs w:val="false"/>
          <w:sz w:val="32"/>
          <w:szCs w:val="32"/>
        </w:rPr>
        <w:t xml:space="preserve">เอกสารแนบของ PNP-PCT-PSY-001 · ตอบมาตรฐาน AACI ฉบับที่ 6.0 Standard 12 (การคัดกรองผู้ป่วยกลุ่มเสี่ยงสูง)</w:t>
      </w:r>
    </w:p>
    <w:p>
      <w:pPr>
        <w:spacing w:after="40" w:before="0"/>
        <w:jc w:val="center"/>
      </w:pPr>
      <w:r>
        <w:rPr>
          <w:rFonts w:ascii="TH SarabunPSK" w:cs="TH SarabunPSK" w:eastAsia="TH SarabunPSK" w:hAnsi="TH SarabunPSK"/>
          <w:b w:val="false"/>
          <w:bCs w:val="false"/>
          <w:i w:val="false"/>
          <w:iCs w:val="false"/>
          <w:sz w:val="28"/>
          <w:szCs w:val="28"/>
        </w:rPr>
        <w:t xml:space="preserve">กลุ่มงานจิตเวชและยาเสพติด โรงพยาบาลร้อยเอ็ด · หอผู้ป่วยจิตเวช และมินิธัญญารักษ์สวนพะยอม</w:t>
      </w:r>
    </w:p>
    <w:p>
      <w:pPr>
        <w:spacing w:after="160" w:before="0"/>
        <w:jc w:val="center"/>
      </w:pPr>
      <w:r>
        <w:rPr>
          <w:rFonts w:ascii="TH SarabunPSK" w:cs="TH SarabunPSK" w:eastAsia="TH SarabunPSK" w:hAnsi="TH SarabunPSK"/>
          <w:b/>
          <w:bCs/>
          <w:i w:val="false"/>
          <w:iCs w:val="false"/>
          <w:sz w:val="32"/>
          <w:szCs w:val="32"/>
        </w:rPr>
        <w:t xml:space="preserve">สถานะ: ร่าง — เสนอ PCT จิตเวชพิจารณา ยังไม่มีผลบังคับใช้จนกว่าจะลงนามครบ</w:t>
      </w:r>
    </w:p>
    <w:p>
      <w:pPr>
        <w:spacing w:after="80" w:before="200"/>
      </w:pPr>
      <w:r>
        <w:rPr>
          <w:rFonts w:ascii="TH SarabunPSK" w:cs="TH SarabunPSK" w:eastAsia="TH SarabunPSK" w:hAnsi="TH SarabunPSK"/>
          <w:b/>
          <w:bCs/>
          <w:i w:val="false"/>
          <w:iCs w:val="false"/>
          <w:sz w:val="34"/>
          <w:szCs w:val="34"/>
        </w:rPr>
        <w:t xml:space="preserve">วิธีใช้แบบคัดกรอง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6726"/>
      </w:tblGrid>
      <w:tr>
        <w:trPr>
          <w:tblHeader/>
        </w:trPr>
        <w:tc>
          <w:tcPr>
            <w:tcW w:type="dxa" w:w="2300"/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/>
                <w:bCs/>
                <w:i w:val="false"/>
                <w:iCs w:val="false"/>
                <w:sz w:val="30"/>
                <w:szCs w:val="30"/>
              </w:rPr>
              <w:t xml:space="preserve">หัวข้อ</w:t>
            </w:r>
          </w:p>
        </w:tc>
        <w:tc>
          <w:tcPr>
            <w:tcW w:type="dxa" w:w="6726"/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/>
                <w:bCs/>
                <w:i w:val="false"/>
                <w:iCs w:val="false"/>
                <w:sz w:val="30"/>
                <w:szCs w:val="30"/>
              </w:rPr>
              <w:t xml:space="preserve">รายละเอียด</w:t>
            </w:r>
          </w:p>
        </w:tc>
      </w:tr>
      <w:tr>
        <w:trPr>
          <w:tblHeader w:val="false"/>
        </w:trPr>
        <w:tc>
          <w:tcPr>
            <w:tcW w:type="dxa" w:w="23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ใช้กับใคร</w:t>
            </w:r>
          </w:p>
        </w:tc>
        <w:tc>
          <w:tcPr>
            <w:tcW w:type="dxa" w:w="6726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ผู้ป่วยในทุกรายของหอผู้ป่วยจิตเวชและมินิธัญญารักษ์ ไม่เลือกทำเฉพาะรายที่ดูมีปัญหา</w:t>
            </w:r>
          </w:p>
        </w:tc>
      </w:tr>
      <w:tr>
        <w:trPr>
          <w:tblHeader w:val="false"/>
        </w:trPr>
        <w:tc>
          <w:tcPr>
            <w:tcW w:type="dxa" w:w="23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ทำเมื่อไร</w:t>
            </w:r>
          </w:p>
        </w:tc>
        <w:tc>
          <w:tcPr>
            <w:tcW w:type="dxa" w:w="6726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ครั้งที่ 1 ภายใน 48 ชั่วโมงหลังรับไว้ · ครั้งที่ 2 ก่อนจำหน่าย (ใช้แบบฟอร์มแผ่นเดียวกัน คนละช่อง)</w:t>
            </w:r>
          </w:p>
        </w:tc>
      </w:tr>
      <w:tr>
        <w:trPr>
          <w:tblHeader w:val="false"/>
        </w:trPr>
        <w:tc>
          <w:tcPr>
            <w:tcW w:type="dxa" w:w="23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ใครทำ</w:t>
            </w:r>
          </w:p>
        </w:tc>
        <w:tc>
          <w:tcPr>
            <w:tcW w:type="dxa" w:w="6726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พยาบาลเจ้าของไข้เป็นผู้ประเมินหลัก ร่วมกับนักสังคมสงเคราะห์ในมิติที่ 3 และ 4 · ปรึกษาแพทย์เมื่อพบธงแดง</w:t>
            </w:r>
          </w:p>
        </w:tc>
      </w:tr>
      <w:tr>
        <w:trPr>
          <w:tblHeader w:val="false"/>
        </w:trPr>
        <w:tc>
          <w:tcPr>
            <w:tcW w:type="dxa" w:w="23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วิธีบันทึก</w:t>
            </w:r>
          </w:p>
        </w:tc>
        <w:tc>
          <w:tcPr>
            <w:tcW w:type="dxa" w:w="6726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ทำเครื่องหมายในช่อง เมื่อประเมินแล้ว "พบ" ประเด็นนั้น · ข้อที่มีคำว่า (ธงแดง) ให้ดำเนินการทันทีไม่ต้องรอสรุปคะแนน</w:t>
            </w:r>
          </w:p>
        </w:tc>
      </w:tr>
      <w:tr>
        <w:trPr>
          <w:tblHeader w:val="false"/>
        </w:trPr>
        <w:tc>
          <w:tcPr>
            <w:tcW w:type="dxa" w:w="23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เก็บที่ไหน</w:t>
            </w:r>
          </w:p>
        </w:tc>
        <w:tc>
          <w:tcPr>
            <w:tcW w:type="dxa" w:w="6726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แผ่นต้นฉบับเก็บในเวชระเบียนผู้ป่วย · สรุปผล (จำนวนมิติที่ติดธง) บันทึกในแผนการดูแลและในทะเบียนที่เกี่ยวข้อง</w:t>
            </w:r>
          </w:p>
        </w:tc>
      </w:tr>
    </w:tbl>
    <w:p>
      <w:pPr>
        <w:spacing w:after="80" w:before="200"/>
      </w:pPr>
      <w:r>
        <w:rPr>
          <w:rFonts w:ascii="TH SarabunPSK" w:cs="TH SarabunPSK" w:eastAsia="TH SarabunPSK" w:hAnsi="TH SarabunPSK"/>
          <w:b/>
          <w:bCs/>
          <w:i w:val="false"/>
          <w:iCs w:val="false"/>
          <w:sz w:val="34"/>
          <w:szCs w:val="34"/>
        </w:rPr>
        <w:t xml:space="preserve">ส่วนที่ 1 — ข้อมูลการประเมิน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2400"/>
        <w:gridCol w:w="2100"/>
        <w:gridCol w:w="2426"/>
      </w:tblGrid>
      <w:tr>
        <w:trPr>
          <w:tblHeader/>
        </w:trPr>
        <w:tc>
          <w:tcPr>
            <w:tcW w:type="dxa" w:w="2100"/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/>
                <w:bCs/>
                <w:i w:val="false"/>
                <w:iCs w:val="false"/>
                <w:sz w:val="30"/>
                <w:szCs w:val="30"/>
              </w:rPr>
              <w:t xml:space="preserve">หน่วยบริการ</w:t>
            </w:r>
          </w:p>
        </w:tc>
        <w:tc>
          <w:tcPr>
            <w:tcW w:type="dxa" w:w="2400"/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/>
                <w:bCs/>
                <w:i w:val="false"/>
                <w:iCs w:val="false"/>
                <w:sz w:val="30"/>
                <w:szCs w:val="30"/>
              </w:rPr>
              <w:t xml:space="preserve"/>
            </w:r>
          </w:p>
        </w:tc>
        <w:tc>
          <w:tcPr>
            <w:tcW w:type="dxa" w:w="2100"/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/>
                <w:bCs/>
                <w:i w:val="false"/>
                <w:iCs w:val="false"/>
                <w:sz w:val="30"/>
                <w:szCs w:val="30"/>
              </w:rPr>
              <w:t xml:space="preserve">วันที่รับไว้</w:t>
            </w:r>
          </w:p>
        </w:tc>
        <w:tc>
          <w:tcPr>
            <w:tcW w:type="dxa" w:w="2426"/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/>
                <w:bCs/>
                <w:i w:val="false"/>
                <w:iCs w:val="false"/>
                <w:sz w:val="30"/>
                <w:szCs w:val="30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21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/>
                <w:bCs/>
                <w:i w:val="false"/>
                <w:iCs w:val="false"/>
                <w:sz w:val="30"/>
                <w:szCs w:val="30"/>
              </w:rPr>
              <w:t xml:space="preserve">เลขทะเบียน/รหัสอ้างอิงผู้ป่วย</w:t>
            </w:r>
          </w:p>
        </w:tc>
        <w:tc>
          <w:tcPr>
            <w:tcW w:type="dxa" w:w="2400"/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/>
            </w:r>
          </w:p>
        </w:tc>
        <w:tc>
          <w:tcPr>
            <w:tcW w:type="dxa" w:w="21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/>
                <w:bCs/>
                <w:i w:val="false"/>
                <w:iCs w:val="false"/>
                <w:sz w:val="30"/>
                <w:szCs w:val="30"/>
              </w:rPr>
              <w:t xml:space="preserve">วันที่ประเมินครั้งที่ 1</w:t>
            </w:r>
          </w:p>
        </w:tc>
        <w:tc>
          <w:tcPr>
            <w:tcW w:type="dxa" w:w="2426"/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21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/>
                <w:bCs/>
                <w:i w:val="false"/>
                <w:iCs w:val="false"/>
                <w:sz w:val="30"/>
                <w:szCs w:val="30"/>
              </w:rPr>
              <w:t xml:space="preserve">ผู้ประเมินครั้งที่ 1 (ตำแหน่ง)</w:t>
            </w:r>
          </w:p>
        </w:tc>
        <w:tc>
          <w:tcPr>
            <w:tcW w:type="dxa" w:w="2400"/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/>
            </w:r>
          </w:p>
        </w:tc>
        <w:tc>
          <w:tcPr>
            <w:tcW w:type="dxa" w:w="21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/>
                <w:bCs/>
                <w:i w:val="false"/>
                <w:iCs w:val="false"/>
                <w:sz w:val="30"/>
                <w:szCs w:val="30"/>
              </w:rPr>
              <w:t xml:space="preserve">วันที่ประเมินครั้งที่ 2</w:t>
            </w:r>
          </w:p>
        </w:tc>
        <w:tc>
          <w:tcPr>
            <w:tcW w:type="dxa" w:w="2426"/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/>
            </w:r>
          </w:p>
        </w:tc>
      </w:tr>
    </w:tbl>
    <w:p>
      <w:pPr>
        <w:spacing w:after="80" w:before="200"/>
      </w:pPr>
      <w:r>
        <w:rPr>
          <w:rFonts w:ascii="TH SarabunPSK" w:cs="TH SarabunPSK" w:eastAsia="TH SarabunPSK" w:hAnsi="TH SarabunPSK"/>
          <w:b/>
          <w:bCs/>
          <w:i w:val="false"/>
          <w:iCs w:val="false"/>
          <w:sz w:val="32"/>
          <w:szCs w:val="32"/>
        </w:rPr>
        <w:t xml:space="preserve">ส่วนที่ 2 — มิติที่ 1 ความสามารถในการทำหน้าที่ (Functional status)</w:t>
      </w:r>
    </w:p>
    <w:p>
      <w:pPr>
        <w:spacing w:after="60" w:before="0"/>
      </w:pPr>
      <w:r>
        <w:rPr>
          <w:rFonts w:ascii="TH SarabunPSK" w:cs="TH SarabunPSK" w:eastAsia="TH SarabunPSK" w:hAnsi="TH SarabunPSK"/>
          <w:b w:val="false"/>
          <w:bCs w:val="false"/>
          <w:i/>
          <w:iCs/>
          <w:sz w:val="30"/>
          <w:szCs w:val="30"/>
        </w:rPr>
        <w:t xml:space="preserve">ประเมินจากการสังเกตการทำกิจวัตรจริงในหอผู้ป่วย ร่วมกับข้อมูลจากผู้ดูแล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5926"/>
        <w:gridCol w:w="1200"/>
        <w:gridCol w:w="1200"/>
      </w:tblGrid>
      <w:tr>
        <w:trPr>
          <w:tblHeader/>
        </w:trPr>
        <w:tc>
          <w:tcPr>
            <w:tcW w:type="dxa" w:w="700"/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/>
                <w:bCs/>
                <w:i w:val="false"/>
                <w:iCs w:val="false"/>
                <w:sz w:val="30"/>
                <w:szCs w:val="30"/>
              </w:rPr>
              <w:t xml:space="preserve">ข้อ</w:t>
            </w:r>
          </w:p>
        </w:tc>
        <w:tc>
          <w:tcPr>
            <w:tcW w:type="dxa" w:w="5926"/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/>
                <w:bCs/>
                <w:i w:val="false"/>
                <w:iCs w:val="false"/>
                <w:sz w:val="30"/>
                <w:szCs w:val="30"/>
              </w:rPr>
              <w:t xml:space="preserve">ประเด็นที่ประเมิน</w:t>
            </w:r>
          </w:p>
        </w:tc>
        <w:tc>
          <w:tcPr>
            <w:tcW w:type="dxa" w:w="1200"/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/>
                <w:bCs/>
                <w:i w:val="false"/>
                <w:iCs w:val="false"/>
                <w:sz w:val="30"/>
                <w:szCs w:val="30"/>
              </w:rPr>
              <w:t xml:space="preserve">ครั้งที่ 1 แรกรับ</w:t>
            </w:r>
          </w:p>
        </w:tc>
        <w:tc>
          <w:tcPr>
            <w:tcW w:type="dxa" w:w="1200"/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/>
                <w:bCs/>
                <w:i w:val="false"/>
                <w:iCs w:val="false"/>
                <w:sz w:val="30"/>
                <w:szCs w:val="30"/>
              </w:rPr>
              <w:t xml:space="preserve">ครั้งที่ 2 ก่อนจำหน่าย</w:t>
            </w:r>
          </w:p>
        </w:tc>
      </w:tr>
      <w:tr>
        <w:trPr>
          <w:tblHeader w:val="false"/>
        </w:trPr>
        <w:tc>
          <w:tcPr>
            <w:tcW w:type="dxa" w:w="7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  <w:jc w:val="center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1.1</w:t>
            </w:r>
          </w:p>
        </w:tc>
        <w:tc>
          <w:tcPr>
            <w:tcW w:type="dxa" w:w="5926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ต้องการความช่วยเหลือในกิจวัตรประจำวันพื้นฐาน (อาบน้ำ แต่งตัว ขับถ่าย รับประทานอาหาร)</w:t>
            </w:r>
          </w:p>
        </w:tc>
        <w:tc>
          <w:tcPr>
            <w:tcW w:type="dxa" w:w="1200"/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/>
            </w:r>
          </w:p>
        </w:tc>
        <w:tc>
          <w:tcPr>
            <w:tcW w:type="dxa" w:w="1200"/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7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  <w:jc w:val="center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1.2</w:t>
            </w:r>
          </w:p>
        </w:tc>
        <w:tc>
          <w:tcPr>
            <w:tcW w:type="dxa" w:w="5926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เคลื่อนย้ายหรือเดินเองไม่ได้ หรือมีความเสี่ยงต่อการพลัดตกหกล้ม</w:t>
            </w:r>
          </w:p>
        </w:tc>
        <w:tc>
          <w:tcPr>
            <w:tcW w:type="dxa" w:w="1200"/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/>
            </w:r>
          </w:p>
        </w:tc>
        <w:tc>
          <w:tcPr>
            <w:tcW w:type="dxa" w:w="1200"/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7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  <w:jc w:val="center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1.3</w:t>
            </w:r>
          </w:p>
        </w:tc>
        <w:tc>
          <w:tcPr>
            <w:tcW w:type="dxa" w:w="5926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จัดยาและรับประทานยาตามเวลาด้วยตนเองไม่ได้</w:t>
            </w:r>
          </w:p>
        </w:tc>
        <w:tc>
          <w:tcPr>
            <w:tcW w:type="dxa" w:w="1200"/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/>
            </w:r>
          </w:p>
        </w:tc>
        <w:tc>
          <w:tcPr>
            <w:tcW w:type="dxa" w:w="1200"/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7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  <w:jc w:val="center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1.4</w:t>
            </w:r>
          </w:p>
        </w:tc>
        <w:tc>
          <w:tcPr>
            <w:tcW w:type="dxa" w:w="5926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มีปัญหาด้านโภชนาการ (น้ำหนักลดชัดเจน รับประทานได้น้อย หรือผอมมาก)</w:t>
            </w:r>
          </w:p>
        </w:tc>
        <w:tc>
          <w:tcPr>
            <w:tcW w:type="dxa" w:w="1200"/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/>
            </w:r>
          </w:p>
        </w:tc>
        <w:tc>
          <w:tcPr>
            <w:tcW w:type="dxa" w:w="1200"/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7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  <w:jc w:val="center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1.5</w:t>
            </w:r>
          </w:p>
        </w:tc>
        <w:tc>
          <w:tcPr>
            <w:tcW w:type="dxa" w:w="5926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มีความบกพร่องด้านการมองเห็น การได้ยิน หรือการสื่อสาร ที่กระทบการดูแลตนเอง</w:t>
            </w:r>
          </w:p>
        </w:tc>
        <w:tc>
          <w:tcPr>
            <w:tcW w:type="dxa" w:w="1200"/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/>
            </w:r>
          </w:p>
        </w:tc>
        <w:tc>
          <w:tcPr>
            <w:tcW w:type="dxa" w:w="1200"/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7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  <w:jc w:val="center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1.6</w:t>
            </w:r>
          </w:p>
        </w:tc>
        <w:tc>
          <w:tcPr>
            <w:tcW w:type="dxa" w:w="5926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(ธงแดง) ช่วยเหลือตนเองไม่ได้เลย และไม่มีผู้ดูแลอยู่ด้วยตลอดเวลาเมื่อกลับบ้าน</w:t>
            </w:r>
          </w:p>
        </w:tc>
        <w:tc>
          <w:tcPr>
            <w:tcW w:type="dxa" w:w="1200"/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/>
            </w:r>
          </w:p>
        </w:tc>
        <w:tc>
          <w:tcPr>
            <w:tcW w:type="dxa" w:w="1200"/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/>
            </w:r>
          </w:p>
        </w:tc>
      </w:tr>
    </w:tbl>
    <w:p>
      <w:pPr>
        <w:spacing w:after="80" w:before="200"/>
      </w:pPr>
      <w:r>
        <w:rPr>
          <w:rFonts w:ascii="TH SarabunPSK" w:cs="TH SarabunPSK" w:eastAsia="TH SarabunPSK" w:hAnsi="TH SarabunPSK"/>
          <w:b/>
          <w:bCs/>
          <w:i w:val="false"/>
          <w:iCs w:val="false"/>
          <w:sz w:val="32"/>
          <w:szCs w:val="32"/>
        </w:rPr>
        <w:t xml:space="preserve">มิติที่ 2 การรู้คิดและความสามารถในการตัดสินใจ (Cognitive)</w:t>
      </w:r>
    </w:p>
    <w:p>
      <w:pPr>
        <w:spacing w:after="60" w:before="0"/>
      </w:pPr>
      <w:r>
        <w:rPr>
          <w:rFonts w:ascii="TH SarabunPSK" w:cs="TH SarabunPSK" w:eastAsia="TH SarabunPSK" w:hAnsi="TH SarabunPSK"/>
          <w:b w:val="false"/>
          <w:bCs w:val="false"/>
          <w:i/>
          <w:iCs/>
          <w:sz w:val="30"/>
          <w:szCs w:val="30"/>
        </w:rPr>
        <w:t xml:space="preserve">ประเมินร่วมกับผลการตรวจสภาพจิตแรกรับ หากสงสัยภาวะสับสนเฉียบพลันให้รายงานแพทย์ทันที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5926"/>
        <w:gridCol w:w="1200"/>
        <w:gridCol w:w="1200"/>
      </w:tblGrid>
      <w:tr>
        <w:trPr>
          <w:tblHeader/>
        </w:trPr>
        <w:tc>
          <w:tcPr>
            <w:tcW w:type="dxa" w:w="700"/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/>
                <w:bCs/>
                <w:i w:val="false"/>
                <w:iCs w:val="false"/>
                <w:sz w:val="30"/>
                <w:szCs w:val="30"/>
              </w:rPr>
              <w:t xml:space="preserve">ข้อ</w:t>
            </w:r>
          </w:p>
        </w:tc>
        <w:tc>
          <w:tcPr>
            <w:tcW w:type="dxa" w:w="5926"/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/>
                <w:bCs/>
                <w:i w:val="false"/>
                <w:iCs w:val="false"/>
                <w:sz w:val="30"/>
                <w:szCs w:val="30"/>
              </w:rPr>
              <w:t xml:space="preserve">ประเด็นที่ประเมิน</w:t>
            </w:r>
          </w:p>
        </w:tc>
        <w:tc>
          <w:tcPr>
            <w:tcW w:type="dxa" w:w="1200"/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/>
                <w:bCs/>
                <w:i w:val="false"/>
                <w:iCs w:val="false"/>
                <w:sz w:val="30"/>
                <w:szCs w:val="30"/>
              </w:rPr>
              <w:t xml:space="preserve">ครั้งที่ 1 แรกรับ</w:t>
            </w:r>
          </w:p>
        </w:tc>
        <w:tc>
          <w:tcPr>
            <w:tcW w:type="dxa" w:w="1200"/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/>
                <w:bCs/>
                <w:i w:val="false"/>
                <w:iCs w:val="false"/>
                <w:sz w:val="30"/>
                <w:szCs w:val="30"/>
              </w:rPr>
              <w:t xml:space="preserve">ครั้งที่ 2 ก่อนจำหน่าย</w:t>
            </w:r>
          </w:p>
        </w:tc>
      </w:tr>
      <w:tr>
        <w:trPr>
          <w:tblHeader w:val="false"/>
        </w:trPr>
        <w:tc>
          <w:tcPr>
            <w:tcW w:type="dxa" w:w="7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  <w:jc w:val="center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2.1</w:t>
            </w:r>
          </w:p>
        </w:tc>
        <w:tc>
          <w:tcPr>
            <w:tcW w:type="dxa" w:w="5926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สับสนเรื่องเวลา สถานที่ หรือบุคคล</w:t>
            </w:r>
          </w:p>
        </w:tc>
        <w:tc>
          <w:tcPr>
            <w:tcW w:type="dxa" w:w="1200"/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/>
            </w:r>
          </w:p>
        </w:tc>
        <w:tc>
          <w:tcPr>
            <w:tcW w:type="dxa" w:w="1200"/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7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  <w:jc w:val="center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2.2</w:t>
            </w:r>
          </w:p>
        </w:tc>
        <w:tc>
          <w:tcPr>
            <w:tcW w:type="dxa" w:w="5926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ความจำระยะสั้นบกพร่องจนกระทบการดูแลตนเอง</w:t>
            </w:r>
          </w:p>
        </w:tc>
        <w:tc>
          <w:tcPr>
            <w:tcW w:type="dxa" w:w="1200"/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/>
            </w:r>
          </w:p>
        </w:tc>
        <w:tc>
          <w:tcPr>
            <w:tcW w:type="dxa" w:w="1200"/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7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  <w:jc w:val="center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2.3</w:t>
            </w:r>
          </w:p>
        </w:tc>
        <w:tc>
          <w:tcPr>
            <w:tcW w:type="dxa" w:w="5926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เข้าใจข้อมูลการรักษาและปฏิบัติตามคำแนะนำได้จำกัด รวมถึงอ่านฉลากยาไม่ได้</w:t>
            </w:r>
          </w:p>
        </w:tc>
        <w:tc>
          <w:tcPr>
            <w:tcW w:type="dxa" w:w="1200"/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/>
            </w:r>
          </w:p>
        </w:tc>
        <w:tc>
          <w:tcPr>
            <w:tcW w:type="dxa" w:w="1200"/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7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  <w:jc w:val="center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2.4</w:t>
            </w:r>
          </w:p>
        </w:tc>
        <w:tc>
          <w:tcPr>
            <w:tcW w:type="dxa" w:w="5926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ไม่สามารถให้ความยินยอมด้วยตนเอง ต้องอาศัยผู้ดูแลโดยชอบธรรม</w:t>
            </w:r>
          </w:p>
        </w:tc>
        <w:tc>
          <w:tcPr>
            <w:tcW w:type="dxa" w:w="1200"/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/>
            </w:r>
          </w:p>
        </w:tc>
        <w:tc>
          <w:tcPr>
            <w:tcW w:type="dxa" w:w="1200"/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7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  <w:jc w:val="center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2.5</w:t>
            </w:r>
          </w:p>
        </w:tc>
        <w:tc>
          <w:tcPr>
            <w:tcW w:type="dxa" w:w="5926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มีความบกพร่องทางสติปัญญาหรือพัฒนาการที่ทราบอยู่เดิม</w:t>
            </w:r>
          </w:p>
        </w:tc>
        <w:tc>
          <w:tcPr>
            <w:tcW w:type="dxa" w:w="1200"/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/>
            </w:r>
          </w:p>
        </w:tc>
        <w:tc>
          <w:tcPr>
            <w:tcW w:type="dxa" w:w="1200"/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7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  <w:jc w:val="center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2.6</w:t>
            </w:r>
          </w:p>
        </w:tc>
        <w:tc>
          <w:tcPr>
            <w:tcW w:type="dxa" w:w="5926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(ธงแดง) สงสัยภาวะสับสนเฉียบพลัน หรือการรู้คิดถดถอยที่ยังไม่ได้หาสาเหตุ</w:t>
            </w:r>
          </w:p>
        </w:tc>
        <w:tc>
          <w:tcPr>
            <w:tcW w:type="dxa" w:w="1200"/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/>
            </w:r>
          </w:p>
        </w:tc>
        <w:tc>
          <w:tcPr>
            <w:tcW w:type="dxa" w:w="1200"/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/>
            </w:r>
          </w:p>
        </w:tc>
      </w:tr>
    </w:tbl>
    <w:p>
      <w:pPr>
        <w:spacing w:after="80" w:before="200"/>
      </w:pPr>
      <w:r>
        <w:rPr>
          <w:rFonts w:ascii="TH SarabunPSK" w:cs="TH SarabunPSK" w:eastAsia="TH SarabunPSK" w:hAnsi="TH SarabunPSK"/>
          <w:b/>
          <w:bCs/>
          <w:i w:val="false"/>
          <w:iCs w:val="false"/>
          <w:sz w:val="32"/>
          <w:szCs w:val="32"/>
        </w:rPr>
        <w:t xml:space="preserve">มิติที่ 3 การสนับสนุนของครอบครัวและการดูแลที่บ้าน (Family support / in-home care)</w:t>
      </w:r>
    </w:p>
    <w:p>
      <w:pPr>
        <w:spacing w:after="60" w:before="0"/>
      </w:pPr>
      <w:r>
        <w:rPr>
          <w:rFonts w:ascii="TH SarabunPSK" w:cs="TH SarabunPSK" w:eastAsia="TH SarabunPSK" w:hAnsi="TH SarabunPSK"/>
          <w:b w:val="false"/>
          <w:bCs w:val="false"/>
          <w:i/>
          <w:iCs/>
          <w:sz w:val="30"/>
          <w:szCs w:val="30"/>
        </w:rPr>
        <w:t xml:space="preserve">ให้สอบถามจากผู้ดูแลหลักโดยตรงอย่างน้อย 1 ครั้ง ไม่ประเมินจากคำบอกเล่าของผู้ป่วยเพียงฝ่ายเดียว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5926"/>
        <w:gridCol w:w="1200"/>
        <w:gridCol w:w="1200"/>
      </w:tblGrid>
      <w:tr>
        <w:trPr>
          <w:tblHeader/>
        </w:trPr>
        <w:tc>
          <w:tcPr>
            <w:tcW w:type="dxa" w:w="700"/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/>
                <w:bCs/>
                <w:i w:val="false"/>
                <w:iCs w:val="false"/>
                <w:sz w:val="30"/>
                <w:szCs w:val="30"/>
              </w:rPr>
              <w:t xml:space="preserve">ข้อ</w:t>
            </w:r>
          </w:p>
        </w:tc>
        <w:tc>
          <w:tcPr>
            <w:tcW w:type="dxa" w:w="5926"/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/>
                <w:bCs/>
                <w:i w:val="false"/>
                <w:iCs w:val="false"/>
                <w:sz w:val="30"/>
                <w:szCs w:val="30"/>
              </w:rPr>
              <w:t xml:space="preserve">ประเด็นที่ประเมิน</w:t>
            </w:r>
          </w:p>
        </w:tc>
        <w:tc>
          <w:tcPr>
            <w:tcW w:type="dxa" w:w="1200"/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/>
                <w:bCs/>
                <w:i w:val="false"/>
                <w:iCs w:val="false"/>
                <w:sz w:val="30"/>
                <w:szCs w:val="30"/>
              </w:rPr>
              <w:t xml:space="preserve">ครั้งที่ 1 แรกรับ</w:t>
            </w:r>
          </w:p>
        </w:tc>
        <w:tc>
          <w:tcPr>
            <w:tcW w:type="dxa" w:w="1200"/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/>
                <w:bCs/>
                <w:i w:val="false"/>
                <w:iCs w:val="false"/>
                <w:sz w:val="30"/>
                <w:szCs w:val="30"/>
              </w:rPr>
              <w:t xml:space="preserve">ครั้งที่ 2 ก่อนจำหน่าย</w:t>
            </w:r>
          </w:p>
        </w:tc>
      </w:tr>
      <w:tr>
        <w:trPr>
          <w:tblHeader w:val="false"/>
        </w:trPr>
        <w:tc>
          <w:tcPr>
            <w:tcW w:type="dxa" w:w="7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  <w:jc w:val="center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3.1</w:t>
            </w:r>
          </w:p>
        </w:tc>
        <w:tc>
          <w:tcPr>
            <w:tcW w:type="dxa" w:w="5926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ไม่มีผู้ดูแลหลักที่ระบุตัวได้</w:t>
            </w:r>
          </w:p>
        </w:tc>
        <w:tc>
          <w:tcPr>
            <w:tcW w:type="dxa" w:w="1200"/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/>
            </w:r>
          </w:p>
        </w:tc>
        <w:tc>
          <w:tcPr>
            <w:tcW w:type="dxa" w:w="1200"/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7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  <w:jc w:val="center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3.2</w:t>
            </w:r>
          </w:p>
        </w:tc>
        <w:tc>
          <w:tcPr>
            <w:tcW w:type="dxa" w:w="5926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ผู้ดูแลมีข้อจำกัด (สูงอายุ เจ็บป่วยเอง ต้องทำงานทั้งวัน หรือต้องดูแลผู้ป่วยหลายคน)</w:t>
            </w:r>
          </w:p>
        </w:tc>
        <w:tc>
          <w:tcPr>
            <w:tcW w:type="dxa" w:w="1200"/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/>
            </w:r>
          </w:p>
        </w:tc>
        <w:tc>
          <w:tcPr>
            <w:tcW w:type="dxa" w:w="1200"/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7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  <w:jc w:val="center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3.3</w:t>
            </w:r>
          </w:p>
        </w:tc>
        <w:tc>
          <w:tcPr>
            <w:tcW w:type="dxa" w:w="5926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ที่พักไม่ปลอดภัย ไม่เหมาะกับการพักฟื้น หรือไม่มีที่พักแน่นอน</w:t>
            </w:r>
          </w:p>
        </w:tc>
        <w:tc>
          <w:tcPr>
            <w:tcW w:type="dxa" w:w="1200"/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/>
            </w:r>
          </w:p>
        </w:tc>
        <w:tc>
          <w:tcPr>
            <w:tcW w:type="dxa" w:w="1200"/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7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  <w:jc w:val="center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3.4</w:t>
            </w:r>
          </w:p>
        </w:tc>
        <w:tc>
          <w:tcPr>
            <w:tcW w:type="dxa" w:w="5926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เดินทางมารับบริการลำบาก หรือเข้าถึงยาต่อเนื่องที่หน่วยบริการใกล้บ้านได้ยาก</w:t>
            </w:r>
          </w:p>
        </w:tc>
        <w:tc>
          <w:tcPr>
            <w:tcW w:type="dxa" w:w="1200"/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/>
            </w:r>
          </w:p>
        </w:tc>
        <w:tc>
          <w:tcPr>
            <w:tcW w:type="dxa" w:w="1200"/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7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  <w:jc w:val="center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3.5</w:t>
            </w:r>
          </w:p>
        </w:tc>
        <w:tc>
          <w:tcPr>
            <w:tcW w:type="dxa" w:w="5926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ครอบครัวมีความขัดแย้งรุนแรง หรือมีประวัติความรุนแรงในครอบครัว</w:t>
            </w:r>
          </w:p>
        </w:tc>
        <w:tc>
          <w:tcPr>
            <w:tcW w:type="dxa" w:w="1200"/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/>
            </w:r>
          </w:p>
        </w:tc>
        <w:tc>
          <w:tcPr>
            <w:tcW w:type="dxa" w:w="1200"/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7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  <w:jc w:val="center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3.6</w:t>
            </w:r>
          </w:p>
        </w:tc>
        <w:tc>
          <w:tcPr>
            <w:tcW w:type="dxa" w:w="5926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ผู้ดูแลยังไม่เข้าใจโรคและแผนการรักษา หรือไม่เห็นด้วยกับแผนการรักษา</w:t>
            </w:r>
          </w:p>
        </w:tc>
        <w:tc>
          <w:tcPr>
            <w:tcW w:type="dxa" w:w="1200"/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/>
            </w:r>
          </w:p>
        </w:tc>
        <w:tc>
          <w:tcPr>
            <w:tcW w:type="dxa" w:w="1200"/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7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  <w:jc w:val="center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3.7</w:t>
            </w:r>
          </w:p>
        </w:tc>
        <w:tc>
          <w:tcPr>
            <w:tcW w:type="dxa" w:w="5926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(ธงแดง) ไม่มีผู้รับกลับ หรือครอบครัวปฏิเสธการรับกลับ</w:t>
            </w:r>
          </w:p>
        </w:tc>
        <w:tc>
          <w:tcPr>
            <w:tcW w:type="dxa" w:w="1200"/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/>
            </w:r>
          </w:p>
        </w:tc>
        <w:tc>
          <w:tcPr>
            <w:tcW w:type="dxa" w:w="1200"/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/>
            </w:r>
          </w:p>
        </w:tc>
      </w:tr>
    </w:tbl>
    <w:p>
      <w:pPr>
        <w:spacing w:after="80" w:before="200"/>
      </w:pPr>
      <w:r>
        <w:rPr>
          <w:rFonts w:ascii="TH SarabunPSK" w:cs="TH SarabunPSK" w:eastAsia="TH SarabunPSK" w:hAnsi="TH SarabunPSK"/>
          <w:b/>
          <w:bCs/>
          <w:i w:val="false"/>
          <w:iCs w:val="false"/>
          <w:sz w:val="32"/>
          <w:szCs w:val="32"/>
        </w:rPr>
        <w:t xml:space="preserve">มิติที่ 4 ความต้องการด้านจิตสังคม (Psycho-social needs)</w:t>
      </w:r>
    </w:p>
    <w:p>
      <w:pPr>
        <w:spacing w:after="60" w:before="0"/>
      </w:pPr>
      <w:r>
        <w:rPr>
          <w:rFonts w:ascii="TH SarabunPSK" w:cs="TH SarabunPSK" w:eastAsia="TH SarabunPSK" w:hAnsi="TH SarabunPSK"/>
          <w:b w:val="false"/>
          <w:bCs w:val="false"/>
          <w:i/>
          <w:iCs/>
          <w:sz w:val="30"/>
          <w:szCs w:val="30"/>
        </w:rPr>
        <w:t xml:space="preserve">มิตินี้ประเมินร่วมกับนักสังคมสงเคราะห์ทุกรายที่ติดธงตั้งแต่ 1 ข้อขึ้นไป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5926"/>
        <w:gridCol w:w="1200"/>
        <w:gridCol w:w="1200"/>
      </w:tblGrid>
      <w:tr>
        <w:trPr>
          <w:tblHeader/>
        </w:trPr>
        <w:tc>
          <w:tcPr>
            <w:tcW w:type="dxa" w:w="700"/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/>
                <w:bCs/>
                <w:i w:val="false"/>
                <w:iCs w:val="false"/>
                <w:sz w:val="30"/>
                <w:szCs w:val="30"/>
              </w:rPr>
              <w:t xml:space="preserve">ข้อ</w:t>
            </w:r>
          </w:p>
        </w:tc>
        <w:tc>
          <w:tcPr>
            <w:tcW w:type="dxa" w:w="5926"/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/>
                <w:bCs/>
                <w:i w:val="false"/>
                <w:iCs w:val="false"/>
                <w:sz w:val="30"/>
                <w:szCs w:val="30"/>
              </w:rPr>
              <w:t xml:space="preserve">ประเด็นที่ประเมิน</w:t>
            </w:r>
          </w:p>
        </w:tc>
        <w:tc>
          <w:tcPr>
            <w:tcW w:type="dxa" w:w="1200"/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/>
                <w:bCs/>
                <w:i w:val="false"/>
                <w:iCs w:val="false"/>
                <w:sz w:val="30"/>
                <w:szCs w:val="30"/>
              </w:rPr>
              <w:t xml:space="preserve">ครั้งที่ 1 แรกรับ</w:t>
            </w:r>
          </w:p>
        </w:tc>
        <w:tc>
          <w:tcPr>
            <w:tcW w:type="dxa" w:w="1200"/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/>
                <w:bCs/>
                <w:i w:val="false"/>
                <w:iCs w:val="false"/>
                <w:sz w:val="30"/>
                <w:szCs w:val="30"/>
              </w:rPr>
              <w:t xml:space="preserve">ครั้งที่ 2 ก่อนจำหน่าย</w:t>
            </w:r>
          </w:p>
        </w:tc>
      </w:tr>
      <w:tr>
        <w:trPr>
          <w:tblHeader w:val="false"/>
        </w:trPr>
        <w:tc>
          <w:tcPr>
            <w:tcW w:type="dxa" w:w="7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  <w:jc w:val="center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4.1</w:t>
            </w:r>
          </w:p>
        </w:tc>
        <w:tc>
          <w:tcPr>
            <w:tcW w:type="dxa" w:w="5926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ไม่มีรายได้ ตกงาน หรือมีปัญหาค่าใช้จ่ายที่กระทบการรักษาต่อเนื่อง</w:t>
            </w:r>
          </w:p>
        </w:tc>
        <w:tc>
          <w:tcPr>
            <w:tcW w:type="dxa" w:w="1200"/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/>
            </w:r>
          </w:p>
        </w:tc>
        <w:tc>
          <w:tcPr>
            <w:tcW w:type="dxa" w:w="1200"/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7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  <w:jc w:val="center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4.2</w:t>
            </w:r>
          </w:p>
        </w:tc>
        <w:tc>
          <w:tcPr>
            <w:tcW w:type="dxa" w:w="5926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ปัญหาสิทธิการรักษา หรือเอกสารทางราชการไม่ครบ</w:t>
            </w:r>
          </w:p>
        </w:tc>
        <w:tc>
          <w:tcPr>
            <w:tcW w:type="dxa" w:w="1200"/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/>
            </w:r>
          </w:p>
        </w:tc>
        <w:tc>
          <w:tcPr>
            <w:tcW w:type="dxa" w:w="1200"/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7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  <w:jc w:val="center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4.3</w:t>
            </w:r>
          </w:p>
        </w:tc>
        <w:tc>
          <w:tcPr>
            <w:tcW w:type="dxa" w:w="5926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ใช้สุราหรือสารเสพติดต่อเนื่อง หรือประเมินว่าเสี่ยงสูงต่อการกลับไปใช้ซ้ำ</w:t>
            </w:r>
          </w:p>
        </w:tc>
        <w:tc>
          <w:tcPr>
            <w:tcW w:type="dxa" w:w="1200"/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/>
            </w:r>
          </w:p>
        </w:tc>
        <w:tc>
          <w:tcPr>
            <w:tcW w:type="dxa" w:w="1200"/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7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  <w:jc w:val="center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4.4</w:t>
            </w:r>
          </w:p>
        </w:tc>
        <w:tc>
          <w:tcPr>
            <w:tcW w:type="dxa" w:w="5926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มีคดีความ หรืออยู่ในกระบวนการยุติธรรม</w:t>
            </w:r>
          </w:p>
        </w:tc>
        <w:tc>
          <w:tcPr>
            <w:tcW w:type="dxa" w:w="1200"/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/>
            </w:r>
          </w:p>
        </w:tc>
        <w:tc>
          <w:tcPr>
            <w:tcW w:type="dxa" w:w="1200"/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7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  <w:jc w:val="center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4.5</w:t>
            </w:r>
          </w:p>
        </w:tc>
        <w:tc>
          <w:tcPr>
            <w:tcW w:type="dxa" w:w="5926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ถูกตีตรา แยกตัวจากสังคม หรือขาดเครือข่ายสนับสนุนในชุมชน</w:t>
            </w:r>
          </w:p>
        </w:tc>
        <w:tc>
          <w:tcPr>
            <w:tcW w:type="dxa" w:w="1200"/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/>
            </w:r>
          </w:p>
        </w:tc>
        <w:tc>
          <w:tcPr>
            <w:tcW w:type="dxa" w:w="1200"/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7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  <w:jc w:val="center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4.6</w:t>
            </w:r>
          </w:p>
        </w:tc>
        <w:tc>
          <w:tcPr>
            <w:tcW w:type="dxa" w:w="5926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เป็นผู้ดูแลหลักของผู้อื่น หรือเป็นนักเรียน/นักศึกษาที่การเจ็บป่วยกระทบการเรียน</w:t>
            </w:r>
          </w:p>
        </w:tc>
        <w:tc>
          <w:tcPr>
            <w:tcW w:type="dxa" w:w="1200"/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/>
            </w:r>
          </w:p>
        </w:tc>
        <w:tc>
          <w:tcPr>
            <w:tcW w:type="dxa" w:w="1200"/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7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  <w:jc w:val="center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4.7</w:t>
            </w:r>
          </w:p>
        </w:tc>
        <w:tc>
          <w:tcPr>
            <w:tcW w:type="dxa" w:w="5926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(ธงแดง) ประเมินว่ายังมีความเสี่ยงต่อการทำร้ายตนเองหรือผู้อื่นเมื่อกลับสู่ชุมชน</w:t>
            </w:r>
          </w:p>
        </w:tc>
        <w:tc>
          <w:tcPr>
            <w:tcW w:type="dxa" w:w="1200"/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/>
            </w:r>
          </w:p>
        </w:tc>
        <w:tc>
          <w:tcPr>
            <w:tcW w:type="dxa" w:w="1200"/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/>
            </w:r>
          </w:p>
        </w:tc>
      </w:tr>
    </w:tbl>
    <w:p>
      <w:pPr>
        <w:spacing w:after="80" w:before="200"/>
      </w:pPr>
      <w:r>
        <w:rPr>
          <w:rFonts w:ascii="TH SarabunPSK" w:cs="TH SarabunPSK" w:eastAsia="TH SarabunPSK" w:hAnsi="TH SarabunPSK"/>
          <w:b/>
          <w:bCs/>
          <w:i w:val="false"/>
          <w:iCs w:val="false"/>
          <w:sz w:val="34"/>
          <w:szCs w:val="34"/>
        </w:rPr>
        <w:t xml:space="preserve">ส่วนที่ 3 — การสรุปผลและจุดตัด</w:t>
      </w:r>
    </w:p>
    <w:p>
      <w:pPr>
        <w:spacing w:after="60" w:before="0"/>
      </w:pPr>
      <w:r>
        <w:rPr>
          <w:rFonts w:ascii="TH SarabunPSK" w:cs="TH SarabunPSK" w:eastAsia="TH SarabunPSK" w:hAnsi="TH SarabunPSK"/>
          <w:b/>
          <w:bCs/>
          <w:i w:val="false"/>
          <w:iCs w:val="false"/>
          <w:sz w:val="32"/>
          <w:szCs w:val="32"/>
        </w:rPr>
        <w:t xml:space="preserve">กติกาการติดธงรายมิติ: มิติใดที่ประเมินแล้ว "พบ" ตั้งแต่ 2 ข้อขึ้นไป หรือพบข้อที่เป็นธงแดง 1 ข้อ ถือว่า "ติดธง" ในมิตินั้น</w:t>
      </w:r>
    </w:p>
    <w:p>
      <w:pPr>
        <w:spacing w:after="60" w:before="0"/>
      </w:pPr>
      <w:r>
        <w:rPr>
          <w:rFonts w:ascii="TH SarabunPSK" w:cs="TH SarabunPSK" w:eastAsia="TH SarabunPSK" w:hAnsi="TH SarabunPSK"/>
          <w:b/>
          <w:bCs/>
          <w:i w:val="false"/>
          <w:iCs w:val="false"/>
          <w:sz w:val="32"/>
          <w:szCs w:val="32"/>
        </w:rPr>
        <w:t xml:space="preserve">เกณฑ์เข้าข่ายผู้ป่วยกลุ่มเสี่ยงสูง: ติดธงตั้งแต่ 2 มิติขึ้นไป หรือพบธงแดงข้อใดข้อหนึ่ง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1600"/>
        <w:gridCol w:w="1600"/>
        <w:gridCol w:w="3426"/>
      </w:tblGrid>
      <w:tr>
        <w:trPr>
          <w:tblHeader/>
        </w:trPr>
        <w:tc>
          <w:tcPr>
            <w:tcW w:type="dxa" w:w="2400"/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/>
                <w:bCs/>
                <w:i w:val="false"/>
                <w:iCs w:val="false"/>
                <w:sz w:val="30"/>
                <w:szCs w:val="30"/>
              </w:rPr>
              <w:t xml:space="preserve">สรุปผล</w:t>
            </w:r>
          </w:p>
        </w:tc>
        <w:tc>
          <w:tcPr>
            <w:tcW w:type="dxa" w:w="1600"/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/>
                <w:bCs/>
                <w:i w:val="false"/>
                <w:iCs w:val="false"/>
                <w:sz w:val="30"/>
                <w:szCs w:val="30"/>
              </w:rPr>
              <w:t xml:space="preserve">ครั้งที่ 1</w:t>
            </w:r>
          </w:p>
        </w:tc>
        <w:tc>
          <w:tcPr>
            <w:tcW w:type="dxa" w:w="1600"/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/>
                <w:bCs/>
                <w:i w:val="false"/>
                <w:iCs w:val="false"/>
                <w:sz w:val="30"/>
                <w:szCs w:val="30"/>
              </w:rPr>
              <w:t xml:space="preserve">ครั้งที่ 2</w:t>
            </w:r>
          </w:p>
        </w:tc>
        <w:tc>
          <w:tcPr>
            <w:tcW w:type="dxa" w:w="3426"/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/>
                <w:bCs/>
                <w:i w:val="false"/>
                <w:iCs w:val="false"/>
                <w:sz w:val="30"/>
                <w:szCs w:val="30"/>
              </w:rPr>
              <w:t xml:space="preserve">หมายเหตุ</w:t>
            </w:r>
          </w:p>
        </w:tc>
      </w:tr>
      <w:tr>
        <w:trPr>
          <w:tblHeader w:val="false"/>
        </w:trPr>
        <w:tc>
          <w:tcPr>
            <w:tcW w:type="dxa" w:w="24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จำนวนมิติที่ติดธง (0–4)</w:t>
            </w:r>
          </w:p>
        </w:tc>
        <w:tc>
          <w:tcPr>
            <w:tcW w:type="dxa" w:w="1600"/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/>
            </w:r>
          </w:p>
        </w:tc>
        <w:tc>
          <w:tcPr>
            <w:tcW w:type="dxa" w:w="1600"/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/>
            </w:r>
          </w:p>
        </w:tc>
        <w:tc>
          <w:tcPr>
            <w:tcW w:type="dxa" w:w="3426"/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24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พบธงแดงหรือไม่ (พบ/ไม่พบ)</w:t>
            </w:r>
          </w:p>
        </w:tc>
        <w:tc>
          <w:tcPr>
            <w:tcW w:type="dxa" w:w="1600"/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/>
            </w:r>
          </w:p>
        </w:tc>
        <w:tc>
          <w:tcPr>
            <w:tcW w:type="dxa" w:w="1600"/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/>
            </w:r>
          </w:p>
        </w:tc>
        <w:tc>
          <w:tcPr>
            <w:tcW w:type="dxa" w:w="3426"/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ถ้าพบ ระบุข้อที่พบ</w:t>
            </w:r>
          </w:p>
        </w:tc>
      </w:tr>
      <w:tr>
        <w:trPr>
          <w:tblHeader w:val="false"/>
        </w:trPr>
        <w:tc>
          <w:tcPr>
            <w:tcW w:type="dxa" w:w="24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เข้าเกณฑ์กลุ่มเสี่ยงสูงหรือไม่</w:t>
            </w:r>
          </w:p>
        </w:tc>
        <w:tc>
          <w:tcPr>
            <w:tcW w:type="dxa" w:w="1600"/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/>
            </w:r>
          </w:p>
        </w:tc>
        <w:tc>
          <w:tcPr>
            <w:tcW w:type="dxa" w:w="1600"/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/>
            </w:r>
          </w:p>
        </w:tc>
        <w:tc>
          <w:tcPr>
            <w:tcW w:type="dxa" w:w="3426"/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24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ผู้จัดการรายกรณีที่มอบหมาย (ตำแหน่ง)</w:t>
            </w:r>
          </w:p>
        </w:tc>
        <w:tc>
          <w:tcPr>
            <w:tcW w:type="dxa" w:w="1600"/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/>
            </w:r>
          </w:p>
        </w:tc>
        <w:tc>
          <w:tcPr>
            <w:tcW w:type="dxa" w:w="1600"/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/>
            </w:r>
          </w:p>
        </w:tc>
        <w:tc>
          <w:tcPr>
            <w:tcW w:type="dxa" w:w="3426"/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ระบุทุกรายที่เข้าเกณฑ์เสี่ยงสูง</w:t>
            </w:r>
          </w:p>
        </w:tc>
      </w:tr>
    </w:tbl>
    <w:p>
      <w:pPr>
        <w:spacing w:after="80" w:before="200"/>
      </w:pPr>
      <w:r>
        <w:rPr>
          <w:rFonts w:ascii="TH SarabunPSK" w:cs="TH SarabunPSK" w:eastAsia="TH SarabunPSK" w:hAnsi="TH SarabunPSK"/>
          <w:b/>
          <w:bCs/>
          <w:i w:val="false"/>
          <w:iCs w:val="false"/>
          <w:sz w:val="34"/>
          <w:szCs w:val="34"/>
        </w:rPr>
        <w:t xml:space="preserve">ส่วนที่ 4 — การดำเนินการตามจุดตัด (ทำและบันทึกทุกข้อที่เข้าเงื่อนไข)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900"/>
        <w:gridCol w:w="1400"/>
        <w:gridCol w:w="1526"/>
      </w:tblGrid>
      <w:tr>
        <w:trPr>
          <w:tblHeader/>
        </w:trPr>
        <w:tc>
          <w:tcPr>
            <w:tcW w:type="dxa" w:w="2200"/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/>
                <w:bCs/>
                <w:i w:val="false"/>
                <w:iCs w:val="false"/>
                <w:sz w:val="30"/>
                <w:szCs w:val="30"/>
              </w:rPr>
              <w:t xml:space="preserve">เมื่อพบ</w:t>
            </w:r>
          </w:p>
        </w:tc>
        <w:tc>
          <w:tcPr>
            <w:tcW w:type="dxa" w:w="3900"/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/>
                <w:bCs/>
                <w:i w:val="false"/>
                <w:iCs w:val="false"/>
                <w:sz w:val="30"/>
                <w:szCs w:val="30"/>
              </w:rPr>
              <w:t xml:space="preserve">ต้องทำอะไร</w:t>
            </w:r>
          </w:p>
        </w:tc>
        <w:tc>
          <w:tcPr>
            <w:tcW w:type="dxa" w:w="1400"/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/>
                <w:bCs/>
                <w:i w:val="false"/>
                <w:iCs w:val="false"/>
                <w:sz w:val="30"/>
                <w:szCs w:val="30"/>
              </w:rPr>
              <w:t xml:space="preserve">ภายใน</w:t>
            </w:r>
          </w:p>
        </w:tc>
        <w:tc>
          <w:tcPr>
            <w:tcW w:type="dxa" w:w="1526"/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/>
                <w:bCs/>
                <w:i w:val="false"/>
                <w:iCs w:val="false"/>
                <w:sz w:val="30"/>
                <w:szCs w:val="30"/>
              </w:rPr>
              <w:t xml:space="preserve">ทำแล้ว (ลงชื่อย่อ/วันที่)</w:t>
            </w:r>
          </w:p>
        </w:tc>
      </w:tr>
      <w:tr>
        <w:trPr>
          <w:tblHeader w:val="false"/>
        </w:trPr>
        <w:tc>
          <w:tcPr>
            <w:tcW w:type="dxa" w:w="22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มิติที่ 1 ติดธง</w:t>
            </w:r>
          </w:p>
        </w:tc>
        <w:tc>
          <w:tcPr>
            <w:tcW w:type="dxa" w:w="39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ปรึกษางานเวชกรรมฟื้นฟู/กิจกรรมบำบัด ตามข้อบ่งชี้ · วางแผนฝึกทักษะการดูแลตนเองและสอนผู้ดูแล · ประเมินความเสี่ยงพลัดตกหกล้ม</w:t>
            </w:r>
          </w:p>
        </w:tc>
        <w:tc>
          <w:tcPr>
            <w:tcW w:type="dxa" w:w="14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48 ชั่วโมง</w:t>
            </w:r>
          </w:p>
        </w:tc>
        <w:tc>
          <w:tcPr>
            <w:tcW w:type="dxa" w:w="1526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22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มิติที่ 2 ติดธง</w:t>
            </w:r>
          </w:p>
        </w:tc>
        <w:tc>
          <w:tcPr>
            <w:tcW w:type="dxa" w:w="39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รายงานแพทย์เพื่อพิจารณาหาสาเหตุที่แก้ไขได้ · ปรับวิธีให้ข้อมูลให้เข้าใจง่าย · จัดระบบช่วยจำเรื่องยา · ระบุผู้ให้ความยินยอมแทน</w:t>
            </w:r>
          </w:p>
        </w:tc>
        <w:tc>
          <w:tcPr>
            <w:tcW w:type="dxa" w:w="14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24 ชั่วโมง</w:t>
            </w:r>
          </w:p>
        </w:tc>
        <w:tc>
          <w:tcPr>
            <w:tcW w:type="dxa" w:w="1526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22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มิติที่ 3 ติดธง</w:t>
            </w:r>
          </w:p>
        </w:tc>
        <w:tc>
          <w:tcPr>
            <w:tcW w:type="dxa" w:w="39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ปรึกษานักสังคมสงเคราะห์ · เชิญผู้ดูแลหลักมาร่วมวางแผนจำหน่าย · พิจารณาการเยี่ยมบ้านหรือทดลองเยี่ยมบ้านก่อนจำหน่าย · ประสานทีมสุขภาพจิตใกล้บ้าน</w:t>
            </w:r>
          </w:p>
        </w:tc>
        <w:tc>
          <w:tcPr>
            <w:tcW w:type="dxa" w:w="14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72 ชั่วโมง</w:t>
            </w:r>
          </w:p>
        </w:tc>
        <w:tc>
          <w:tcPr>
            <w:tcW w:type="dxa" w:w="1526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22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มิติที่ 4 ติดธง</w:t>
            </w:r>
          </w:p>
        </w:tc>
        <w:tc>
          <w:tcPr>
            <w:tcW w:type="dxa" w:w="39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ปรึกษานักสังคมสงเคราะห์ด้านสิทธิและสวัสดิการ · ปรึกษานักจิตวิทยาตามข้อบ่งชี้ · ผู้ที่ใช้สารเสพติดต่อเนื่อง ให้วางแผนเข้าโปรแกรมบำบัดต่อเนื่องและบันทึกในทะเบียน REG-PCT-PSY-001</w:t>
            </w:r>
          </w:p>
        </w:tc>
        <w:tc>
          <w:tcPr>
            <w:tcW w:type="dxa" w:w="14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72 ชั่วโมง</w:t>
            </w:r>
          </w:p>
        </w:tc>
        <w:tc>
          <w:tcPr>
            <w:tcW w:type="dxa" w:w="1526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22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พบธงแดงข้อใดข้อหนึ่ง</w:t>
            </w:r>
          </w:p>
        </w:tc>
        <w:tc>
          <w:tcPr>
            <w:tcW w:type="dxa" w:w="39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รายงานแพทย์ผู้รับผิดชอบทันที · นำเข้าประชุมทีมสหวิชาชีพในรอบถัดไป · จัดทำแผนดูแลเฉพาะรายเป็นลายลักษณ์อักษร · ห้ามจำหน่ายจนกว่าจะมีแผนรองรับที่บันทึกไว้</w:t>
            </w:r>
          </w:p>
        </w:tc>
        <w:tc>
          <w:tcPr>
            <w:tcW w:type="dxa" w:w="14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ทันที</w:t>
            </w:r>
          </w:p>
        </w:tc>
        <w:tc>
          <w:tcPr>
            <w:tcW w:type="dxa" w:w="1526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22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เข้าเกณฑ์กลุ่มเสี่ยงสูง</w:t>
            </w:r>
          </w:p>
        </w:tc>
        <w:tc>
          <w:tcPr>
            <w:tcW w:type="dxa" w:w="39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ระบุผู้จัดการรายกรณี · ทบทวนแผนอย่างน้อยสัปดาห์ละครั้ง · นัดติดตามครั้งแรกภายใน 7 วันหลังจำหน่าย · ส่งข้อมูลให้ทีมชุมชนพร้อมบันทึกวันที่ส่ง</w:t>
            </w:r>
          </w:p>
        </w:tc>
        <w:tc>
          <w:tcPr>
            <w:tcW w:type="dxa" w:w="1400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72 ชั่วโมง</w:t>
            </w:r>
          </w:p>
        </w:tc>
        <w:tc>
          <w:tcPr>
            <w:tcW w:type="dxa" w:w="1526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/>
            </w:r>
          </w:p>
        </w:tc>
      </w:tr>
    </w:tbl>
    <w:p>
      <w:pPr>
        <w:spacing w:after="80" w:before="200"/>
      </w:pPr>
      <w:r>
        <w:rPr>
          <w:rFonts w:ascii="TH SarabunPSK" w:cs="TH SarabunPSK" w:eastAsia="TH SarabunPSK" w:hAnsi="TH SarabunPSK"/>
          <w:b/>
          <w:bCs/>
          <w:i w:val="false"/>
          <w:iCs w:val="false"/>
          <w:sz w:val="34"/>
          <w:szCs w:val="34"/>
        </w:rPr>
        <w:t xml:space="preserve">ส่วนที่ 5 — บันทึกเพิ่มเติมและการลงนาม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rPr>
          <w:tblHeader/>
        </w:trPr>
        <w:tc>
          <w:tcPr>
            <w:tcW w:type="dxa" w:w="9026"/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/>
                <w:bCs/>
                <w:i w:val="false"/>
                <w:iCs w:val="false"/>
                <w:sz w:val="30"/>
                <w:szCs w:val="30"/>
              </w:rPr>
              <w:t xml:space="preserve">ประเด็นสำคัญที่ต้องส่งต่อให้ทีมที่ดูแลต่อ (เขียนสั้น ๆ ให้ผู้อ่านคนถัดไปเข้าใจ)</w:t>
            </w:r>
          </w:p>
        </w:tc>
      </w:tr>
      <w:tr>
        <w:trPr>
          <w:tblHeader w:val="false"/>
        </w:trPr>
        <w:tc>
          <w:tcPr>
            <w:tcW w:type="dxa" w:w="9026"/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/>
            </w:r>
          </w:p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/>
            </w:r>
          </w:p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/>
            </w:r>
          </w:p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/>
            </w:r>
          </w:p>
        </w:tc>
      </w:tr>
    </w:tbl>
    <w:p>
      <w:pPr>
        <w:spacing w:after="120" w:before="0"/>
      </w:pPr>
      <w:r>
        <w:rPr>
          <w:rFonts w:ascii="TH SarabunPSK" w:cs="TH SarabunPSK" w:eastAsia="TH SarabunPSK" w:hAnsi="TH SarabunPSK"/>
          <w:b w:val="false"/>
          <w:bCs w:val="false"/>
          <w:i w:val="false"/>
          <w:iCs w:val="false"/>
          <w:sz w:val="32"/>
          <w:szCs w:val="3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rPr>
          <w:tblHeader/>
        </w:trPr>
        <w:tc>
          <w:tcPr>
            <w:tcW w:type="dxa" w:w="4513"/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/>
                <w:bCs/>
                <w:i w:val="false"/>
                <w:iCs w:val="false"/>
                <w:sz w:val="30"/>
                <w:szCs w:val="30"/>
              </w:rPr>
              <w:t xml:space="preserve">ผู้ประเมินครั้งที่ 1</w:t>
            </w:r>
          </w:p>
        </w:tc>
        <w:tc>
          <w:tcPr>
            <w:tcW w:type="dxa" w:w="4513"/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/>
                <w:bCs/>
                <w:i w:val="false"/>
                <w:iCs w:val="false"/>
                <w:sz w:val="30"/>
                <w:szCs w:val="30"/>
              </w:rPr>
              <w:t xml:space="preserve">ผู้ประเมินครั้งที่ 2 (ก่อนจำหน่าย)</w:t>
            </w:r>
          </w:p>
        </w:tc>
      </w:tr>
      <w:tr>
        <w:trPr>
          <w:tblHeader w:val="false"/>
        </w:trPr>
        <w:tc>
          <w:tcPr>
            <w:tcW w:type="dxa" w:w="4513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ลงชื่อ ................................</w:t>
            </w:r>
          </w:p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ตำแหน่ง ................................</w:t>
            </w:r>
          </w:p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วันที่ ......./......./.........</w:t>
            </w:r>
          </w:p>
        </w:tc>
        <w:tc>
          <w:tcPr>
            <w:tcW w:type="dxa" w:w="4513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ลงชื่อ ................................</w:t>
            </w:r>
          </w:p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ตำแหน่ง ................................</w:t>
            </w:r>
          </w:p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วันที่ ......./......./.........</w:t>
            </w:r>
          </w:p>
        </w:tc>
      </w:tr>
    </w:tbl>
    <w:p>
      <w:pPr>
        <w:spacing w:after="120" w:before="0"/>
      </w:pPr>
      <w:r>
        <w:rPr>
          <w:rFonts w:ascii="TH SarabunPSK" w:cs="TH SarabunPSK" w:eastAsia="TH SarabunPSK" w:hAnsi="TH SarabunPSK"/>
          <w:b w:val="false"/>
          <w:bCs w:val="false"/>
          <w:i w:val="false"/>
          <w:iCs w:val="false"/>
          <w:sz w:val="32"/>
          <w:szCs w:val="3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9"/>
        <w:gridCol w:w="3009"/>
        <w:gridCol w:w="3008"/>
      </w:tblGrid>
      <w:tr>
        <w:trPr>
          <w:tblHeader/>
        </w:trPr>
        <w:tc>
          <w:tcPr>
            <w:tcW w:type="dxa" w:w="3009"/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/>
                <w:bCs/>
                <w:i w:val="false"/>
                <w:iCs w:val="false"/>
                <w:sz w:val="30"/>
                <w:szCs w:val="30"/>
              </w:rPr>
              <w:t xml:space="preserve">ผู้จัดทำแบบฟอร์ม</w:t>
            </w:r>
          </w:p>
        </w:tc>
        <w:tc>
          <w:tcPr>
            <w:tcW w:type="dxa" w:w="3009"/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/>
                <w:bCs/>
                <w:i w:val="false"/>
                <w:iCs w:val="false"/>
                <w:sz w:val="30"/>
                <w:szCs w:val="30"/>
              </w:rPr>
              <w:t xml:space="preserve">ผู้ตรวจสอบ</w:t>
            </w:r>
          </w:p>
        </w:tc>
        <w:tc>
          <w:tcPr>
            <w:tcW w:type="dxa" w:w="3008"/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/>
                <w:bCs/>
                <w:i w:val="false"/>
                <w:iCs w:val="false"/>
                <w:sz w:val="30"/>
                <w:szCs w:val="30"/>
              </w:rPr>
              <w:t xml:space="preserve">ผู้อนุมัติ</w:t>
            </w:r>
          </w:p>
        </w:tc>
      </w:tr>
      <w:tr>
        <w:trPr>
          <w:tblHeader w:val="false"/>
        </w:trPr>
        <w:tc>
          <w:tcPr>
            <w:tcW w:type="dxa" w:w="3009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ทีม PCT จิตเวช</w:t>
            </w:r>
          </w:p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/>
            </w:r>
          </w:p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ลงชื่อ ................................</w:t>
            </w:r>
          </w:p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วันที่ ......./......./.........</w:t>
            </w:r>
          </w:p>
        </w:tc>
        <w:tc>
          <w:tcPr>
            <w:tcW w:type="dxa" w:w="3009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พยาบาลหัวหน้าหอผู้ป่วยจิตเวช</w:t>
            </w:r>
          </w:p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/>
            </w:r>
          </w:p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ลงชื่อ ................................</w:t>
            </w:r>
          </w:p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วันที่ ......./......./.........</w:t>
            </w:r>
          </w:p>
        </w:tc>
        <w:tc>
          <w:tcPr>
            <w:tcW w:type="dxa" w:w="3008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นพ.ธงชัย เสรีรัตน์ (ประธาน PCT จิตเวช)</w:t>
            </w:r>
          </w:p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/>
            </w:r>
          </w:p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ลงชื่อ ................................</w:t>
            </w:r>
          </w:p>
          <w:p>
            <w:pPr>
              <w:spacing w:after="20"/>
            </w:pPr>
            <w:r>
              <w:rPr>
                <w:rFonts w:ascii="TH SarabunPSK" w:cs="TH SarabunPSK" w:eastAsia="TH SarabunPSK" w:hAnsi="TH SarabunPSK"/>
                <w:b w:val="false"/>
                <w:bCs w:val="false"/>
                <w:i w:val="false"/>
                <w:iCs w:val="false"/>
                <w:sz w:val="30"/>
                <w:szCs w:val="30"/>
              </w:rPr>
              <w:t xml:space="preserve">วันที่ ......./......./.........</w:t>
            </w:r>
          </w:p>
        </w:tc>
      </w:tr>
    </w:tbl>
    <w:p>
      <w:pPr>
        <w:spacing w:after="80" w:before="200"/>
      </w:pPr>
      <w:r>
        <w:rPr>
          <w:rFonts w:ascii="TH SarabunPSK" w:cs="TH SarabunPSK" w:eastAsia="TH SarabunPSK" w:hAnsi="TH SarabunPSK"/>
          <w:b/>
          <w:bCs/>
          <w:i w:val="false"/>
          <w:iCs w:val="false"/>
          <w:sz w:val="34"/>
          <w:szCs w:val="34"/>
        </w:rPr>
        <w:t xml:space="preserve">หมายเหตุด้านความตรงของเครื่องมือ</w:t>
      </w:r>
    </w:p>
    <w:p>
      <w:pPr>
        <w:spacing w:after="60" w:before="0"/>
      </w:pPr>
      <w:r>
        <w:rPr>
          <w:rFonts w:ascii="TH SarabunPSK" w:cs="TH SarabunPSK" w:eastAsia="TH SarabunPSK" w:hAnsi="TH SarabunPSK"/>
          <w:b w:val="false"/>
          <w:bCs w:val="false"/>
          <w:i w:val="false"/>
          <w:iCs w:val="false"/>
          <w:sz w:val="30"/>
          <w:szCs w:val="30"/>
        </w:rPr>
        <w:t xml:space="preserve">แบบคัดกรองนี้สร้างขึ้นให้ครอบคลุม 4 มิติตามข้อกำหนดของมาตรฐาน โดยเลือกประเด็นจากปัญหาที่พบจริงในผู้ป่วยจิตเวชและผู้ป่วยยาเสพติดของกลุ่มงาน จุดตัด "ติดธง 2 ข้อต่อมิติ" และ "ติดธง 2 มิติ = กลุ่มเสี่ยงสูง" เป็นข้อตกลงภายในของกลุ่มงาน ยังไม่ได้ผ่านการทดสอบความตรงและความเที่ยงเชิงสถิติ ให้ทบทวนความเหมาะสมของจุดตัดหลังใช้จริง 3 เดือน โดยดูสัดส่วนผู้ป่วยที่ถูกจัดเป็นกลุ่มเสี่ยงสูง เทียบกับกำลังคนที่มีจริง และเทียบกับผลลัพธ์การกลับมารักษาซ้ำ</w:t>
      </w:r>
    </w:p>
    <w:p>
      <w:pPr>
        <w:spacing w:after="60" w:before="80"/>
      </w:pPr>
      <w:r>
        <w:rPr>
          <w:rFonts w:ascii="TH SarabunPSK" w:cs="TH SarabunPSK" w:eastAsia="TH SarabunPSK" w:hAnsi="TH SarabunPSK"/>
          <w:b w:val="false"/>
          <w:bCs w:val="false"/>
          <w:i/>
          <w:iCs/>
          <w:sz w:val="28"/>
          <w:szCs w:val="28"/>
        </w:rPr>
        <w:t xml:space="preserve">รหัสเอกสาร FM-PCT-PSY-004 · ฉบับที่ 1.0 (ร่าง) · 7 สิงหาคม 2569 · เอกสารแนบของ PNP-PCT-PSY-001</w:t>
      </w:r>
    </w:p>
    <w:sectPr>
      <w:headerReference w:type="default" r:id="rId7"/>
      <w:footerReference w:type="default" r:id="rId8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H SarabunPSK" w:cs="TH SarabunPSK" w:eastAsia="TH SarabunPSK" w:hAnsi="TH SarabunPSK"/>
        <w:b w:val="false"/>
        <w:bCs w:val="false"/>
        <w:i w:val="false"/>
        <w:iCs w:val="false"/>
        <w:sz w:val="26"/>
        <w:szCs w:val="26"/>
      </w:rPr>
      <w:t xml:space="preserve">หน้า </w:t>
    </w:r>
    <w:r>
      <w:rPr>
        <w:rFonts w:ascii="TH SarabunPSK" w:cs="TH SarabunPSK" w:eastAsia="TH SarabunPSK" w:hAnsi="TH SarabunPSK"/>
        <w:sz w:val="26"/>
        <w:szCs w:val="26"/>
      </w:rPr>
      <w:fldChar w:fldCharType="begin"/>
      <w:instrText xml:space="preserve">PAGE</w:instrText>
      <w:fldChar w:fldCharType="separate"/>
      <w:fldChar w:fldCharType="end"/>
    </w:r>
    <w:r>
      <w:rPr>
        <w:rFonts w:ascii="TH SarabunPSK" w:cs="TH SarabunPSK" w:eastAsia="TH SarabunPSK" w:hAnsi="TH SarabunPSK"/>
        <w:b w:val="false"/>
        <w:bCs w:val="false"/>
        <w:i w:val="false"/>
        <w:iCs w:val="false"/>
        <w:sz w:val="26"/>
        <w:szCs w:val="26"/>
      </w:rPr>
      <w:t xml:space="preserve"> / </w:t>
    </w:r>
    <w:r>
      <w:rPr>
        <w:rFonts w:ascii="TH SarabunPSK" w:cs="TH SarabunPSK" w:eastAsia="TH SarabunPSK" w:hAnsi="TH SarabunPSK"/>
        <w:sz w:val="26"/>
        <w:szCs w:val="2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TH SarabunPSK" w:cs="TH SarabunPSK" w:eastAsia="TH SarabunPSK" w:hAnsi="TH SarabunPSK"/>
        <w:b w:val="false"/>
        <w:bCs w:val="false"/>
        <w:i w:val="false"/>
        <w:iCs w:val="false"/>
        <w:sz w:val="26"/>
        <w:szCs w:val="26"/>
      </w:rPr>
      <w:t xml:space="preserve">รหัสเอกสาร: FM-PCT-PSY-004 (ร่าง)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60" w:hanging="260"/>
      </w:pPr>
    </w:lvl>
    <w:lvl w:ilvl="1" w15:tentative="1">
      <w:start w:val="1"/>
      <w:numFmt w:val="bullet"/>
      <w:lvlText w:val="◦"/>
      <w:lvlJc w:val="left"/>
      <w:pPr>
        <w:ind w:left="90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)"/>
      <w:lvlJc w:val="left"/>
      <w:pPr>
        <w:ind w:left="460" w:hanging="2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2026-08-08T00:09:57.985Z</dcterms:created>
  <dcterms:modified xsi:type="dcterms:W3CDTF">2026-08-08T00:09:57.986Z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