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PSK" w:hAnsi="TH SarabunPSK" w:eastAsia="TH SarabunPSK" w:cs="TH SarabunPSK"/>
          <w:b/>
          <w:bCs/>
          <w:sz w:val="40"/>
          <w:szCs w:val="40"/>
          <w:cs/>
          <w:lang w:val="th-TH" w:eastAsia="th-TH" w:bidi="th-TH"/>
        </w:rPr>
        <w:t>ระเบียบปฏิบัติการบันทึกเวชระเบียนผู้ป่วยในจิตเวชและยาเสพติด</w:t>
      </w:r>
    </w:p>
    <w:p>
      <w:pPr>
        <w:spacing w:before="0" w:after="0" w:line="240" w:lineRule="auto"/>
        <w:jc w:val="center"/>
      </w:pPr>
      <w:r>
        <w:rPr>
          <w:rFonts w:ascii="TH SarabunPSK" w:hAnsi="TH SarabunPSK" w:eastAsia="TH SarabunPSK" w:cs="TH SarabunPSK"/>
          <w:sz w:val="30"/>
          <w:szCs w:val="30"/>
          <w:cs/>
          <w:lang w:val="th-TH" w:eastAsia="th-TH" w:bidi="th-TH"/>
        </w:rPr>
        <w:t>กลุ่มงานจิตเวชและยาเสพติด โรงพยาบาลร้อยเอ็ด — ตอบมาตรฐาน AACI ฉบับที่ 6.0 ข้อ 19.1</w:t>
      </w:r>
    </w:p>
    <w:p>
      <w:pPr>
        <w:spacing w:before="0" w:after="0" w:line="240" w:lineRule="auto"/>
        <w:jc w:val="center"/>
      </w:pPr>
      <w:r>
        <w:rPr>
          <w:rFonts w:ascii="TH SarabunPSK" w:hAnsi="TH SarabunPSK" w:eastAsia="TH SarabunPSK" w:cs="TH SarabunPSK"/>
          <w:sz w:val="30"/>
          <w:szCs w:val="30"/>
          <w:cs/>
          <w:lang w:val="th-TH" w:eastAsia="th-TH" w:bidi="th-TH"/>
        </w:rPr>
        <w:t>หอผู้ป่วยจิตเวช (45 เตียง) · มินิธัญญารักษ์สวนพะยอม (50 เตียง)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w="9638" w:type="dxa"/>
            <w:shd w:val="clear" w:color="auto" w:fill="FFEB9C"/>
          </w:tcPr>
          <w:p>
            <w:pPr>
              <w:spacing w:before="0" w:after="2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สถานะ: ร่าง — เสนอ PCT จิตเวชพิจารณา ยังไม่มีผลบังคับใช้จนกว่าจะลงนามครบ</w:t>
            </w:r>
          </w:p>
        </w:tc>
      </w:tr>
    </w:tbl>
    <w:p>
      <w:pPr>
        <w:spacing w:before="0" w:after="0" w:line="80" w:lineRule="exact"/>
        <w:jc w:val="left"/>
      </w:pPr>
      <w:r>
        <w:rPr>
          <w:rFonts w:ascii="TH SarabunPSK" w:hAnsi="TH SarabunPSK" w:eastAsia="TH SarabunPSK" w:cs="TH SarabunPSK"/>
          <w:sz w:val="4"/>
          <w:szCs w:val="4"/>
          <w:cs/>
          <w:lang w:val="th-TH" w:eastAsia="th-TH" w:bidi="th-TH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2381"/>
        <w:gridCol w:w="7256"/>
      </w:tblGrid>
      <w:tr>
        <w:tc>
          <w:tcPr>
            <w:tcW w:w="2381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รหัสเอกสาร</w:t>
            </w:r>
          </w:p>
        </w:tc>
        <w:tc>
          <w:tcPr>
            <w:tcW w:w="725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PNP-PCT-PSY-002</w:t>
            </w:r>
          </w:p>
        </w:tc>
      </w:tr>
      <w:tr>
        <w:tc>
          <w:tcPr>
            <w:tcW w:w="2381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ฉบับที่ / วันที่</w:t>
            </w:r>
          </w:p>
        </w:tc>
        <w:tc>
          <w:tcPr>
            <w:tcW w:w="725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ฉบับที่ 0.9 (ร่าง) · 3 ตุลาคม 2569</w:t>
            </w:r>
          </w:p>
        </w:tc>
      </w:tr>
      <w:tr>
        <w:tc>
          <w:tcPr>
            <w:tcW w:w="2381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ผู้รับผิดชอบเอกสาร</w:t>
            </w:r>
          </w:p>
        </w:tc>
        <w:tc>
          <w:tcPr>
            <w:tcW w:w="725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ประธาน PCT จิตเวช ร่วมกับหัวหน้าหอผู้ป่วยจิตเวชและหัวหน้ามินิธัญญารักษ์</w:t>
            </w:r>
          </w:p>
        </w:tc>
      </w:tr>
      <w:tr>
        <w:tc>
          <w:tcPr>
            <w:tcW w:w="2381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ขอบเขตการใช้</w:t>
            </w:r>
          </w:p>
        </w:tc>
        <w:tc>
          <w:tcPr>
            <w:tcW w:w="725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เวชระเบียนผู้ป่วยในของหอผู้ป่วยจิตเวชและมินิธัญญารักษ์สวนพะยอม ทุกราย ตั้งแต่รับไว้จนจำหน่าย</w:t>
            </w:r>
          </w:p>
        </w:tc>
      </w:tr>
      <w:tr>
        <w:tc>
          <w:tcPr>
            <w:tcW w:w="2381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เอกสารแนบ</w:t>
            </w:r>
          </w:p>
        </w:tc>
        <w:tc>
          <w:tcPr>
            <w:tcW w:w="725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FM-PCT-PSY-005 แบบแผนการรักษาเฉพาะราย · FM-PCT-PSY-006 แบบบัญชีทรัพย์สินผู้ป่วยแรกรับ · FM-PCT-PSY-007 แบบตรวจสอบความครบถ้วนเวชระเบียนจิตเวช</w:t>
            </w:r>
          </w:p>
        </w:tc>
      </w:tr>
      <w:tr>
        <w:tc>
          <w:tcPr>
            <w:tcW w:w="2381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เอกสารที่เกี่ยวข้อง</w:t>
            </w:r>
          </w:p>
        </w:tc>
        <w:tc>
          <w:tcPr>
            <w:tcW w:w="725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PNP-PCT-PSY-001 นโยบายและแนวปฏิบัติการรับไว้–จำหน่าย (ร่าง) · คู่มือการบันทึกทางการพยาบาลผู้ป่วยในของกลุ่มภารกิจด้านการพยาบาล · ระเบียบเวชระเบียนและความมั่นคงปลอดภัยข้อมูลของโรงพยาบาล</w:t>
            </w:r>
          </w:p>
        </w:tc>
      </w:tr>
      <w:tr>
        <w:tc>
          <w:tcPr>
            <w:tcW w:w="2381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รอบทบทวน</w:t>
            </w:r>
          </w:p>
        </w:tc>
        <w:tc>
          <w:tcPr>
            <w:tcW w:w="725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ทุก 2 ปี หรือเมื่อมาตรฐาน กฎหมาย หรือระบบเวชระเบียนของโรงพยาบาลเปลี่ยน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keepNext/>
        <w:spacing w:before="200" w:after="6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6"/>
          <w:szCs w:val="36"/>
          <w:cs/>
          <w:lang w:val="th-TH" w:eastAsia="th-TH" w:bidi="th-TH"/>
        </w:rPr>
        <w:t>1. เหตุผลและที่มา</w:t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แบบประเมินตนเองตามมาตรฐาน AACI ข้อ 19 (รหัส AACI-STD19-PCT-PSY-2569-02) ระบุช่องว่างของข้อ 19.1 ว่า หน่วยงานปฏิบัติได้ดีในหลายเรื่อง แต่ยังไม่มีระเบียบปฏิบัติการบันทึกเวชระเบียนจิตเวชเป็นลายลักษณ์อักษร ยังไม่ได้กำหนดความถี่ขั้นต่ำของบันทึกความก้าวหน้า และยังไม่มีการสุ่มตรวจความครบถ้วนเป็นรอบ เอกสารฉบับนี้รวบรวมข้อกำหนดของมาตรฐานข้อ 19.1 ทั้ง 9 ข้อให้อยู่ในที่เดียว และกำหนดผู้รับผิดชอบกับกรอบเวลาของแต่ละองค์ประกอบ</w:t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i/>
          <w:iCs/>
          <w:sz w:val="30"/>
          <w:szCs w:val="30"/>
          <w:cs/>
          <w:lang w:val="th-TH" w:eastAsia="th-TH" w:bidi="th-TH"/>
        </w:rPr>
        <w:t>ความถูกต้องของแหล่งอ้างอิง: ข้อ 19.1.1–19.1.3 สอบทานกับสไลด์อบรมของวิทยากร AACI แล้วตรงกัน ส่วนข้อ 19.1.4–19.1.9 ใช้ข้อความจากเอกสารของทีมโรงพยาบาล ยังไม่ได้สอบทานกับหนังสือมาตรฐานฉบับทางการ เมื่อได้ฉบับทางการแล้วต้องทบทวนเอกสารนี้อีกครั้ง</w:t>
      </w:r>
    </w:p>
    <w:p>
      <w:pPr>
        <w:keepNext/>
        <w:spacing w:before="200" w:after="6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6"/>
          <w:szCs w:val="36"/>
          <w:cs/>
          <w:lang w:val="th-TH" w:eastAsia="th-TH" w:bidi="th-TH"/>
        </w:rPr>
        <w:t>2. วัตถุประสงค์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1)</w:t>
        <w:tab/>
        <w:t>ให้เวชระเบียนผู้ป่วยในจิตเวชทุกฉบับมีองค์ประกอบครบตามมาตรฐาน และผู้อ่านเข้าใจการรักษาที่ผู้ป่วยได้รับโดยไม่ต้องถามผู้บันทึก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2)</w:t>
        <w:tab/>
        <w:t>ให้ผู้ป่วยทุกรายได้รับการประเมินทางจิตเวชและมีแผนการรักษาเฉพาะรายภายใน 96 ชั่วโมงหลังรับไว้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3)</w:t>
        <w:tab/>
        <w:t>ให้โรคร่วมทางกายของผู้ป่วยจิตเวชถูกค้นหา บันทึก และติดตามการรักษาอย่างเป็นระบบ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4)</w:t>
        <w:tab/>
        <w:t>ให้ข้อมูลผู้ป่วยจิตเวชถูกเก็บรักษาอย่างปลอดภัยและเป็นความลับ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5)</w:t>
        <w:tab/>
        <w:t>ให้มีการสุ่มตรวจเวชระเบียนเป็นรอบ และนำผลไปปรับปรุง</w:t>
      </w:r>
    </w:p>
    <w:p>
      <w:pPr>
        <w:keepNext/>
        <w:spacing w:before="200" w:after="6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6"/>
          <w:szCs w:val="36"/>
          <w:cs/>
          <w:lang w:val="th-TH" w:eastAsia="th-TH" w:bidi="th-TH"/>
        </w:rPr>
        <w:t>3. นิยาม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2437"/>
        <w:gridCol w:w="7200"/>
      </w:tblGrid>
      <w:tr>
        <w:trPr>
          <w:tblHeader/>
          <w:cantSplit/>
        </w:trPr>
        <w:tc>
          <w:tcPr>
            <w:tcW w:w="243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คำ</w:t>
            </w:r>
          </w:p>
        </w:tc>
        <w:tc>
          <w:tcPr>
            <w:tcW w:w="7200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ความหมายที่ใช้ในเอกสารนี้</w:t>
            </w:r>
          </w:p>
        </w:tc>
      </w:tr>
      <w:tr>
        <w:tc>
          <w:tcPr>
            <w:tcW w:w="243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สถานะทางกฎหมายของผู้ป่วย</w:t>
            </w:r>
          </w:p>
        </w:tc>
        <w:tc>
          <w:tcPr>
            <w:tcW w:w="720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ข้อมูล 3 เรื่องที่บันทึกแยกกัน เพราะเกิดพร้อมกันได้ ได้แก่ (1) ฐานการรับไว้: สมัครใจ · รับไว้ตามกฎหมายว่าด้วยสุขภาพจิต · เข้ารับการบำบัดตามกฎหมายว่าด้วยยาเสพติด (2) สถานะการควบคุมตัวหรือคดี: ไม่มี · อยู่ในความควบคุมของเจ้าพนักงาน · มีคดี (3) ผู้มีอำนาจตัดสินใจแทน (ถ้ามี) พร้อมหลักฐานแสดงอำนาจ และผลการประเมินความสามารถในการตัดสินใจของผู้ป่วย — ถ้อยคำเรียกและขอบเขตอำนาจของผู้ตัดสินใจแทนให้นิติกรของโรงพยาบาลยืนยันก่อนประกาศใช้ (TBD)</w:t>
            </w:r>
          </w:p>
        </w:tc>
      </w:tr>
      <w:tr>
        <w:tc>
          <w:tcPr>
            <w:tcW w:w="243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การประเมินทางจิตเวชแรกรับ</w:t>
            </w:r>
          </w:p>
        </w:tc>
        <w:tc>
          <w:tcPr>
            <w:tcW w:w="720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การประเมินโดยแพทย์ ครอบคลุมหัวข้อตามข้อ 6 และเสร็จภายใน 96 ชั่วโมงนับจากเวลารับไว้</w:t>
            </w:r>
          </w:p>
        </w:tc>
      </w:tr>
      <w:tr>
        <w:tc>
          <w:tcPr>
            <w:tcW w:w="243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แผนการรักษาเฉพาะราย</w:t>
            </w:r>
          </w:p>
        </w:tc>
        <w:tc>
          <w:tcPr>
            <w:tcW w:w="720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แผนที่เขียนสำหรับผู้ป่วยแต่ละราย จากจุดแข็งและข้อจำกัดของผู้ป่วย มีองค์ประกอบตามข้อ 7 บันทึกในแบบ FM-PCT-PSY-005 หรือในส่วนที่เทียบเท่าของเวชระเบียน</w:t>
            </w:r>
          </w:p>
        </w:tc>
      </w:tr>
      <w:tr>
        <w:tc>
          <w:tcPr>
            <w:tcW w:w="243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บันทึกความก้าวหน้า</w:t>
            </w:r>
          </w:p>
        </w:tc>
        <w:tc>
          <w:tcPr>
            <w:tcW w:w="720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บันทึกของแพทย์ พยาบาล หรือผู้ที่มีส่วนร่วมสำคัญในแผนการรักษา ที่ประเมินผู้ป่วยเทียบกับแผน และเสนอการคงหรือปรับแผน</w:t>
            </w:r>
          </w:p>
        </w:tc>
      </w:tr>
      <w:tr>
        <w:tc>
          <w:tcPr>
            <w:tcW w:w="243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โรคร่วมและโรคแทรก</w:t>
            </w:r>
          </w:p>
        </w:tc>
        <w:tc>
          <w:tcPr>
            <w:tcW w:w="720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โรคทางกายหรือทางจิตเวชอื่นที่มีอยู่ก่อนหรือเกิดระหว่างการรักษา ซึ่งมีผลต่อการดูแล</w:t>
            </w:r>
          </w:p>
        </w:tc>
      </w:tr>
      <w:tr>
        <w:tc>
          <w:tcPr>
            <w:tcW w:w="243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หอผู้ป่วยปิด</w:t>
            </w:r>
          </w:p>
        </w:tc>
        <w:tc>
          <w:tcPr>
            <w:tcW w:w="720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หอผู้ป่วยที่ควบคุมการเข้าออก ผู้ป่วยไม่สามารถออกได้เอง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keepNext/>
        <w:spacing w:before="200" w:after="6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6"/>
          <w:szCs w:val="36"/>
          <w:cs/>
          <w:lang w:val="th-TH" w:eastAsia="th-TH" w:bidi="th-TH"/>
        </w:rPr>
        <w:t>4. นโยบาย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1)</w:t>
        <w:tab/>
        <w:t>เวชระเบียนต้องบันทึกรายละเอียดการรักษาทุกอย่างที่ผู้ป่วยได้รับภายในขอบเขตบริการของกลุ่มงาน ผู้ให้การรักษาเป็นผู้บันทึกเอง ระบุวัน เวลา และผู้บันทึกทุกครั้ง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2)</w:t>
        <w:tab/>
        <w:t>ผู้ป่วยทุกรายต้องมีองค์ประกอบขั้นต่ำ 6 รายการตามข้อ 5 โดยไม่เลือกบันทึกเฉพาะรายที่ซับซ้อน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3)</w:t>
        <w:tab/>
        <w:t>การประเมินทางจิตเวชแรกรับและแผนการรักษาเฉพาะรายต้องเสร็จภายใน 96 ชั่วโมงหลังรับไว้ หน่วยงานตั้งเป้าหมายภายในให้เร็วกว่านี้ได้ แต่ไม่ช้ากว่า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4)</w:t>
        <w:tab/>
        <w:t>ต้องค้นหาและบันทึกโรคร่วมทุกราย การวินิจฉัยทางจิตเวชอย่างเดียวโดยไม่มีบันทึกว่าได้ประเมินโรคร่วมแล้ว ถือว่าไม่ครบ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5)</w:t>
        <w:tab/>
        <w:t>บันทึกความก้าวหน้าต้องมีความถี่ไม่น้อยกว่าที่กำหนดในข้อ 9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6)</w:t>
        <w:tab/>
        <w:t>ผู้ป่วยทุกรายต้องมีสรุปการจำหน่ายที่มีองค์ประกอบครบ 3 ส่วนตามข้อ 10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7)</w:t>
        <w:tab/>
        <w:t>ข้อมูลผู้ป่วยจิตเวชเป็นข้อมูลอ่อนไหว การเข้าถึงและการเปิดเผยเป็นไปตามข้อ 12</w:t>
      </w:r>
    </w:p>
    <w:p>
      <w:pPr>
        <w:keepNext/>
        <w:spacing w:before="200" w:after="6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6"/>
          <w:szCs w:val="36"/>
          <w:cs/>
          <w:lang w:val="th-TH" w:eastAsia="th-TH" w:bidi="th-TH"/>
        </w:rPr>
        <w:t>5. องค์ประกอบขั้นต่ำของเวชระเบียน (มาตรฐานข้อ 19.1.2)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1927"/>
        <w:gridCol w:w="4251"/>
        <w:gridCol w:w="1927"/>
        <w:gridCol w:w="1530"/>
      </w:tblGrid>
      <w:tr>
        <w:trPr>
          <w:tblHeader/>
          <w:cantSplit/>
        </w:trPr>
        <w:tc>
          <w:tcPr>
            <w:tcW w:w="192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รายการ</w:t>
            </w:r>
          </w:p>
        </w:tc>
        <w:tc>
          <w:tcPr>
            <w:tcW w:w="4251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สิ่งที่ต้องปรากฏในเวชระเบียน</w:t>
            </w:r>
          </w:p>
        </w:tc>
        <w:tc>
          <w:tcPr>
            <w:tcW w:w="192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ผู้บันทึก</w:t>
            </w:r>
          </w:p>
        </w:tc>
        <w:tc>
          <w:tcPr>
            <w:tcW w:w="1530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กรอบเวลา</w:t>
            </w:r>
          </w:p>
        </w:tc>
      </w:tr>
      <w:tr>
        <w:tc>
          <w:tcPr>
            <w:tcW w:w="1927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ก) สถานะทางกฎหมาย</w:t>
            </w:r>
          </w:p>
        </w:tc>
        <w:tc>
          <w:tcPr>
            <w:tcW w:w="425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ระบุ 3 เรื่องตามนิยามข้อ 3 แยกกัน: ฐานการรับไว้ (กรณีรับไว้ตามกฎหมายให้ระบุเอกสารที่เกี่ยวข้องและวันที่) · สถานะการควบคุมตัวหรือคดี · ผู้มีอำนาจตัดสินใจแทน พร้อมความสัมพันธ์และหลักฐานแสดงอำนาจ การมีคดีหรือมีผู้แทนไม่ใช้แทนการระบุฐานการรับไว้</w:t>
            </w:r>
          </w:p>
        </w:tc>
        <w:tc>
          <w:tcPr>
            <w:tcW w:w="192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แพทย์ผู้รับไว้ และพยาบาลแรกรับ</w:t>
            </w:r>
          </w:p>
        </w:tc>
        <w:tc>
          <w:tcPr>
            <w:tcW w:w="153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เมื่อรับไว้</w:t>
            </w:r>
          </w:p>
        </w:tc>
      </w:tr>
      <w:tr>
        <w:tc>
          <w:tcPr>
            <w:tcW w:w="1927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ข) การวินิจฉัยแรกรับ</w:t>
            </w:r>
          </w:p>
        </w:tc>
        <w:tc>
          <w:tcPr>
            <w:tcW w:w="425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การวินิจฉัยเบื้องต้นหรือการวินิจฉัยรับไว้ ต้องปรากฏในเวชระเบียนตั้งแต่ขณะรับไว้ (ส่วนการประเมินและบันทึกรายละเอียดของแพทย์ทำภายใน 8 ชั่วโมง ตาม PNP-PCT-PSY-001 ข้อ 7 ซึ่งเป็นคนละเรื่องกัน)</w:t>
            </w:r>
          </w:p>
        </w:tc>
        <w:tc>
          <w:tcPr>
            <w:tcW w:w="192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แพทย์ผู้รับไว้</w:t>
            </w:r>
          </w:p>
        </w:tc>
        <w:tc>
          <w:tcPr>
            <w:tcW w:w="153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เมื่อรับไว้</w:t>
            </w:r>
          </w:p>
        </w:tc>
      </w:tr>
      <w:tr>
        <w:tc>
          <w:tcPr>
            <w:tcW w:w="1927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ค) โรคร่วมและโรคแทรก</w:t>
            </w:r>
          </w:p>
        </w:tc>
        <w:tc>
          <w:tcPr>
            <w:tcW w:w="425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ผลการซักประวัติและตรวจหาโรคร่วมทางกาย โรคทางจิตเวชอื่น และการใช้สารเสพติด พร้อมแผนการดูแลโรคร่วมแต่ละโรค หากไม่พบให้บันทึกว่าประเมินแล้วไม่พบ</w:t>
            </w:r>
          </w:p>
        </w:tc>
        <w:tc>
          <w:tcPr>
            <w:tcW w:w="192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แพทย์เจ้าของไข้</w:t>
            </w:r>
          </w:p>
        </w:tc>
        <w:tc>
          <w:tcPr>
            <w:tcW w:w="153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ภายใน 24 ชั่วโมง (ข้อเสนอ รอ PCT พิจารณาเห็นชอบ) และเมื่อพบใหม่</w:t>
            </w:r>
          </w:p>
        </w:tc>
      </w:tr>
      <w:tr>
        <w:tc>
          <w:tcPr>
            <w:tcW w:w="1927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ง) เหตุผลในการรับไว้</w:t>
            </w:r>
          </w:p>
        </w:tc>
        <w:tc>
          <w:tcPr>
            <w:tcW w:w="425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เหตุผลและที่มาของข้อมูล เช่น ผู้ป่วย ญาติ ผู้นำส่ง หรือหนังสือส่งตัว</w:t>
            </w:r>
          </w:p>
        </w:tc>
        <w:tc>
          <w:tcPr>
            <w:tcW w:w="192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แพทย์ผู้รับไว้</w:t>
            </w:r>
          </w:p>
        </w:tc>
        <w:tc>
          <w:tcPr>
            <w:tcW w:w="153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เมื่อรับไว้</w:t>
            </w:r>
          </w:p>
        </w:tc>
      </w:tr>
      <w:tr>
        <w:tc>
          <w:tcPr>
            <w:tcW w:w="1927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จ) ข้อมูลจิตสังคม</w:t>
            </w:r>
          </w:p>
        </w:tc>
        <w:tc>
          <w:tcPr>
            <w:tcW w:w="425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บันทึกบริการสังคม การสัมภาษณ์ผู้ป่วยและญาติ ข้อมูลครอบครัว ที่อยู่อาศัย อาชีพ สิทธิการรักษา</w:t>
            </w:r>
          </w:p>
        </w:tc>
        <w:tc>
          <w:tcPr>
            <w:tcW w:w="192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พยาบาลเจ้าของไข้ และนักสังคมสงเคราะห์เมื่อได้รับการส่งปรึกษา</w:t>
            </w:r>
          </w:p>
        </w:tc>
        <w:tc>
          <w:tcPr>
            <w:tcW w:w="153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ภายใน 96 ชั่วโมง</w:t>
            </w:r>
          </w:p>
        </w:tc>
      </w:tr>
      <w:tr>
        <w:tc>
          <w:tcPr>
            <w:tcW w:w="1927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ฉ) การตรวจระบบประสาท</w:t>
            </w:r>
          </w:p>
        </w:tc>
        <w:tc>
          <w:tcPr>
            <w:tcW w:w="425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เมื่อมีข้อบ่งชี้ ให้บันทึกผลการตรวจระบบประสาทอย่างสมบูรณ์ไว้ในการตรวจร่างกายแรกรับ และบันทึกข้อบ่งชี้ที่ทำให้ต้องตรวจ</w:t>
            </w:r>
          </w:p>
        </w:tc>
        <w:tc>
          <w:tcPr>
            <w:tcW w:w="192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แพทย์ผู้รับไว้</w:t>
            </w:r>
          </w:p>
        </w:tc>
        <w:tc>
          <w:tcPr>
            <w:tcW w:w="153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เมื่อรับไว้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30"/>
          <w:szCs w:val="30"/>
          <w:cs/>
          <w:lang w:val="th-TH" w:eastAsia="th-TH" w:bidi="th-TH"/>
        </w:rPr>
        <w:t>ข้อบ่งชี้ของการตรวจระบบประสาทอย่างสมบูรณ์ ให้เป็นไปตามดุลยพินิจของแพทย์ ตัวอย่างเช่น อาการทางจิตครั้งแรก ระดับความรู้สึกตัวเปลี่ยน ชัก บาดเจ็บศีรษะ อาการเฉพาะที่ หรือผู้สูงอายุที่มีอาการสับสนเฉียบพลัน</w:t>
      </w:r>
    </w:p>
    <w:p>
      <w:pPr>
        <w:keepNext/>
        <w:spacing w:before="200" w:after="6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6"/>
          <w:szCs w:val="36"/>
          <w:cs/>
          <w:lang w:val="th-TH" w:eastAsia="th-TH" w:bidi="th-TH"/>
        </w:rPr>
        <w:t>6. การประเมินทางจิตเวชแรกรับ ภายใน 96 ชั่วโมง (มาตรฐานข้อ 19.1.3)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2437"/>
        <w:gridCol w:w="7200"/>
      </w:tblGrid>
      <w:tr>
        <w:trPr>
          <w:tblHeader/>
          <w:cantSplit/>
        </w:trPr>
        <w:tc>
          <w:tcPr>
            <w:tcW w:w="243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หัวข้อที่ต้องมี</w:t>
            </w:r>
          </w:p>
        </w:tc>
        <w:tc>
          <w:tcPr>
            <w:tcW w:w="7200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รายละเอียด</w:t>
            </w:r>
          </w:p>
        </w:tc>
      </w:tr>
      <w:tr>
        <w:tc>
          <w:tcPr>
            <w:tcW w:w="2437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ก) กรอบเวลา</w:t>
            </w:r>
          </w:p>
        </w:tc>
        <w:tc>
          <w:tcPr>
            <w:tcW w:w="720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เสร็จภายใน 96 ชั่วโมงนับจากเวลารับไว้ บันทึกวันและเวลาที่ประเมินเสร็จ</w:t>
            </w:r>
          </w:p>
        </w:tc>
      </w:tr>
      <w:tr>
        <w:tc>
          <w:tcPr>
            <w:tcW w:w="2437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ข) ประวัติทางการแพทย์</w:t>
            </w:r>
          </w:p>
        </w:tc>
        <w:tc>
          <w:tcPr>
            <w:tcW w:w="720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ประวัติการเจ็บป่วยทางกายและทางจิตเวช ยาที่ใช้ การแพ้ยา การใช้สารเสพติด เท่าที่มีข้อมูล</w:t>
            </w:r>
          </w:p>
        </w:tc>
      </w:tr>
      <w:tr>
        <w:tc>
          <w:tcPr>
            <w:tcW w:w="2437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ค) การตรวจสภาพจิต</w:t>
            </w:r>
          </w:p>
        </w:tc>
        <w:tc>
          <w:tcPr>
            <w:tcW w:w="720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บันทึกผลการตรวจสภาพจิตครบหัวข้อ</w:t>
            </w:r>
          </w:p>
        </w:tc>
      </w:tr>
      <w:tr>
        <w:tc>
          <w:tcPr>
            <w:tcW w:w="2437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ง) การเริ่มป่วยและเหตุนำ</w:t>
            </w:r>
          </w:p>
        </w:tc>
        <w:tc>
          <w:tcPr>
            <w:tcW w:w="720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รายละเอียดการเริ่มป่วยและเหตุการณ์ที่นำมาสู่การรับไว้</w:t>
            </w:r>
          </w:p>
        </w:tc>
      </w:tr>
      <w:tr>
        <w:tc>
          <w:tcPr>
            <w:tcW w:w="2437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จ) พฤติกรรมและทัศนคติ</w:t>
            </w:r>
          </w:p>
        </w:tc>
        <w:tc>
          <w:tcPr>
            <w:tcW w:w="720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คำบรรยายพฤติกรรมที่สังเกตได้และทัศนคติของผู้ป่วยต่อการเจ็บป่วยและการรักษา</w:t>
            </w:r>
          </w:p>
        </w:tc>
      </w:tr>
      <w:tr>
        <w:tc>
          <w:tcPr>
            <w:tcW w:w="2437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ฉ) สติปัญญา ความจำ การรับรู้</w:t>
            </w:r>
          </w:p>
        </w:tc>
        <w:tc>
          <w:tcPr>
            <w:tcW w:w="720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การประเมินหน้าที่ด้านสติปัญญา ความจำ และการรับรู้วัน เวลา สถานที่ บุคคล</w:t>
            </w:r>
          </w:p>
        </w:tc>
      </w:tr>
      <w:tr>
        <w:tc>
          <w:tcPr>
            <w:tcW w:w="2437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ช) บัญชีทรัพย์สิน</w:t>
            </w:r>
          </w:p>
        </w:tc>
        <w:tc>
          <w:tcPr>
            <w:tcW w:w="720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เมื่อรับไว้ในหอผู้ป่วยปิด ต้องทำบัญชีทรัพย์สินอย่างถูกต้องและครบถ้วน ตามแบบ FM-PCT-PSY-006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30"/>
          <w:szCs w:val="30"/>
          <w:cs/>
          <w:lang w:val="th-TH" w:eastAsia="th-TH" w:bidi="th-TH"/>
        </w:rPr>
        <w:t>การประเมินทางจิตเวชนี้ไม่ได้ทดแทนการซักประวัติและตรวจร่างกายแรกรับตามข้อกำหนดทั่วไปของโรงพยาบาล ซึ่งต้องบรรยายสภาพร่างกายปัจจุบันและโรคร่วมที่เกี่ยวข้องกับการรักษาระยะเฉียบพลันด้วย</w:t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30"/>
          <w:szCs w:val="30"/>
          <w:cs/>
          <w:lang w:val="th-TH" w:eastAsia="th-TH" w:bidi="th-TH"/>
        </w:rPr>
        <w:t>กรอบเวลาย่อยของกระบวนการแรกรับ (8 · 24 · 48 · 72 · 96 ชั่วโมง) เป็นไปตาม PNP-PCT-PSY-001 ข้อ 7</w:t>
      </w:r>
    </w:p>
    <w:p>
      <w:pPr>
        <w:keepNext/>
        <w:spacing w:before="200" w:after="6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6"/>
          <w:szCs w:val="36"/>
          <w:cs/>
          <w:lang w:val="th-TH" w:eastAsia="th-TH" w:bidi="th-TH"/>
        </w:rPr>
        <w:t>7. แผนการรักษาเฉพาะราย (มาตรฐานข้อ 19.1.4)</w:t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ผู้ป่วยทุกรายต้องมีแผนการรักษาเฉพาะรายที่ครอบคลุม เขียนจากจุดแข็งและข้อจำกัดของผู้ป่วย เสร็จภายใน 96 ชั่วโมง บันทึกในแบบ FM-PCT-PSY-005 และมีองค์ประกอบอย่างน้อย 5 ส่วน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2834"/>
        <w:gridCol w:w="6803"/>
      </w:tblGrid>
      <w:tr>
        <w:trPr>
          <w:tblHeader/>
          <w:cantSplit/>
        </w:trPr>
        <w:tc>
          <w:tcPr>
            <w:tcW w:w="283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องค์ประกอบ</w:t>
            </w:r>
          </w:p>
        </w:tc>
        <w:tc>
          <w:tcPr>
            <w:tcW w:w="6803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สิ่งที่ต้องเขียน</w:t>
            </w:r>
          </w:p>
        </w:tc>
      </w:tr>
      <w:tr>
        <w:tc>
          <w:tcPr>
            <w:tcW w:w="2834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ก) การวินิจฉัยขณะรักษา</w:t>
            </w:r>
          </w:p>
        </w:tc>
        <w:tc>
          <w:tcPr>
            <w:tcW w:w="680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การวินิจฉัยที่ใช้เป็นฐานของแผน รวมโรคร่วม</w:t>
            </w:r>
          </w:p>
        </w:tc>
      </w:tr>
      <w:tr>
        <w:tc>
          <w:tcPr>
            <w:tcW w:w="2834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ข) เป้าหมายระยะสั้นและระยะยาว</w:t>
            </w:r>
          </w:p>
        </w:tc>
        <w:tc>
          <w:tcPr>
            <w:tcW w:w="680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เขียนให้วัดได้ มีวันที่คาดว่าจะบรรลุ และเป็นเป้าหมายของผู้ป่วย ไม่ใช่กิจกรรมของเจ้าหน้าที่</w:t>
            </w:r>
          </w:p>
        </w:tc>
      </w:tr>
      <w:tr>
        <w:tc>
          <w:tcPr>
            <w:tcW w:w="2834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ค) วิธีการรักษา</w:t>
            </w:r>
          </w:p>
        </w:tc>
        <w:tc>
          <w:tcPr>
            <w:tcW w:w="680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วิธีบำบัดที่วางแผนไว้ เช่น ยา จิตบำบัด กลุ่มบำบัด ครอบครัวบำบัด กิจกรรมบำบัด การดูแลโรคร่วม</w:t>
            </w:r>
          </w:p>
        </w:tc>
      </w:tr>
      <w:tr>
        <w:tc>
          <w:tcPr>
            <w:tcW w:w="2834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ง) ทีมสหวิชาชีพ</w:t>
            </w:r>
          </w:p>
        </w:tc>
        <w:tc>
          <w:tcPr>
            <w:tcW w:w="680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ชื่อและวิชาชีพของสมาชิกทีม และความรับผิดชอบของแต่ละคน</w:t>
            </w:r>
          </w:p>
        </w:tc>
      </w:tr>
      <w:tr>
        <w:tc>
          <w:tcPr>
            <w:tcW w:w="2834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จ) หลักฐานสนับสนุน</w:t>
            </w:r>
          </w:p>
        </w:tc>
        <w:tc>
          <w:tcPr>
            <w:tcW w:w="680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ข้อมูลที่ใช้สนับสนุนการวินิจฉัย การรักษา และกิจกรรมฟื้นฟู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ผู้ป่วยและผู้ดูแลหลักมีส่วนร่วมในการกำหนดเป้าหมายเท่าที่อาการเอื้อ และบันทึกการมีส่วนร่วม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ทบทวนแผนอย่างน้อยตามรอบของบันทึกความก้าวหน้าในข้อ 9 และทุกครั้งที่อาการเปลี่ยนอย่างมีนัยสำคัญ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ผู้ป่วยกลุ่มเสี่ยงสูงตามผลคัดกรอง FM-PCT-PSY-004 ให้ทบทวนแผนอย่างน้อยสัปดาห์ละครั้ง ตาม PNP-PCT-PSY-001</w:t>
      </w:r>
    </w:p>
    <w:p>
      <w:pPr>
        <w:keepNext/>
        <w:spacing w:before="200" w:after="6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6"/>
          <w:szCs w:val="36"/>
          <w:cs/>
          <w:lang w:val="th-TH" w:eastAsia="th-TH" w:bidi="th-TH"/>
        </w:rPr>
        <w:t>8. การบันทึกการรักษา (มาตรฐานข้อ 19.1.5–19.1.6)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การรักษาทุกอย่างที่ผู้ป่วยได้รับต้องบันทึกในเวชระเบียน ได้แก่ คำสั่งการรักษา ยาที่ให้ การบำบัด หัตถการ การผูกยึดหรือใช้ห้องแยก (ตามแบบฟอร์มของ REH-PM-NUR-001) และการให้ข้อมูลแก่ผู้ป่วยและญาติ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บันทึกความก้าวหน้าจัดทำโดยแพทย์ผู้รับผิดชอบ พยาบาล และผู้ที่มีส่วนร่วมสำคัญในแผนการรักษา เช่น นักจิตวิทยา นักสังคมสงเคราะห์ เภสัชกร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การบันทึกทางการพยาบาลเป็นไปตามคู่มือการบันทึกทางการพยาบาลผู้ป่วยในของกลุ่มภารกิจด้านการพยาบาล</w:t>
      </w:r>
    </w:p>
    <w:p>
      <w:pPr>
        <w:keepNext/>
        <w:spacing w:before="200" w:after="6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6"/>
          <w:szCs w:val="36"/>
          <w:cs/>
          <w:lang w:val="th-TH" w:eastAsia="th-TH" w:bidi="th-TH"/>
        </w:rPr>
        <w:t>9. ความถี่และเนื้อหาของบันทึกความก้าวหน้า (มาตรฐานข้อ 19.1.7–19.1.8)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2607"/>
        <w:gridCol w:w="2948"/>
        <w:gridCol w:w="4082"/>
      </w:tblGrid>
      <w:tr>
        <w:trPr>
          <w:tblHeader/>
          <w:cantSplit/>
        </w:trPr>
        <w:tc>
          <w:tcPr>
            <w:tcW w:w="260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ช่วงเวลาของการนอนโรงพยาบาล</w:t>
            </w:r>
          </w:p>
        </w:tc>
        <w:tc>
          <w:tcPr>
            <w:tcW w:w="2948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ความถี่ขั้นต่ำตามมาตรฐาน</w:t>
            </w:r>
          </w:p>
        </w:tc>
        <w:tc>
          <w:tcPr>
            <w:tcW w:w="4082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ข้อเสนอของหน่วยงาน (รอ PCT พิจารณาเห็นชอบ)</w:t>
            </w:r>
          </w:p>
        </w:tc>
      </w:tr>
      <w:tr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2 เดือนแรก</w:t>
            </w:r>
          </w:p>
        </w:tc>
        <w:tc>
          <w:tcPr>
            <w:tcW w:w="2948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ไม่น้อยกว่าสัปดาห์ละ 1 ครั้ง</w:t>
            </w:r>
          </w:p>
        </w:tc>
        <w:tc>
          <w:tcPr>
            <w:tcW w:w="4082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 — หอผู้ป่วยจิตเวชระยะเฉียบพลันควรกำหนดถี่กว่ามาตรฐาน</w:t>
            </w:r>
          </w:p>
        </w:tc>
      </w:tr>
      <w:tr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หลัง 2 เดือน</w:t>
            </w:r>
          </w:p>
        </w:tc>
        <w:tc>
          <w:tcPr>
            <w:tcW w:w="2948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ไม่น้อยกว่าเดือนละ 1 ครั้ง</w:t>
            </w:r>
          </w:p>
        </w:tc>
        <w:tc>
          <w:tcPr>
            <w:tcW w:w="4082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 — ใช้กับผู้ป่วยบำบัดฟื้นฟูระยะยาวที่มินิธัญญารักษ์</w:t>
            </w:r>
          </w:p>
        </w:tc>
      </w:tr>
      <w:tr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ทุกช่วง</w:t>
            </w:r>
          </w:p>
        </w:tc>
        <w:tc>
          <w:tcPr>
            <w:tcW w:w="2948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ถี่ขึ้นตามสภาพของผู้ป่วย</w:t>
            </w:r>
          </w:p>
        </w:tc>
        <w:tc>
          <w:tcPr>
            <w:tcW w:w="4082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บันทึกทุกครั้งที่อาการเปลี่ยน ปรับยา มีเหตุการณ์ไม่พึงประสงค์ หรือมีการผูกยึด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บันทึกความก้าวหน้าแต่ละครั้งต้องมีอย่างน้อย 3 เรื่อง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1)</w:t>
        <w:tab/>
        <w:t>การประเมินความก้าวหน้าของผู้ป่วยเทียบกับเป้าหมายในแผนการรักษาเดิมหรือแผนที่ปรับแล้ว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2)</w:t>
        <w:tab/>
        <w:t>ข้อเสนอว่าควรคงแผนเดิม หรือปรับแผนอย่างไร พร้อมเหตุผล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3)</w:t>
        <w:tab/>
        <w:t>สถานะของโรคร่วมและผลข้างเคียงจากการรักษา</w:t>
      </w:r>
    </w:p>
    <w:p>
      <w:pPr>
        <w:keepNext/>
        <w:spacing w:before="200" w:after="6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6"/>
          <w:szCs w:val="36"/>
          <w:cs/>
          <w:lang w:val="th-TH" w:eastAsia="th-TH" w:bidi="th-TH"/>
        </w:rPr>
        <w:t>10. สรุปการจำหน่าย (มาตรฐานข้อ 19.1.9)</w:t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ผู้ป่วยทุกรายต้องมีสรุปการจำหน่ายที่มีองค์ประกอบครบ 3 ส่วน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1)</w:t>
        <w:tab/>
        <w:t>สรุปภาพรวมของการรักษาระหว่างนอนโรงพยาบาล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2)</w:t>
        <w:tab/>
        <w:t>ข้อแนะนำจากหน่วยงานที่เกี่ยวข้องสำหรับการติดตามผลหรือการดูแลต่อเนื่อง รวมวันนัดและหน่วยบริการที่รับดูแลต่อ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3)</w:t>
        <w:tab/>
        <w:t>สรุปโดยย่อของสภาพผู้ป่วยขณะจำหน่าย</w:t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30"/>
          <w:szCs w:val="30"/>
          <w:cs/>
          <w:lang w:val="th-TH" w:eastAsia="th-TH" w:bidi="th-TH"/>
        </w:rPr>
        <w:t>กำหนดเวลาแล้วเสร็จของสรุปการจำหน่าย: ตามระเบียบเวชระเบียนของโรงพยาบาล (TBD — ต้องอ้างเลขที่ระเบียบและจำนวนวัน) องค์ประกอบของแผนจำหน่ายและเกณฑ์พร้อมจำหน่ายเป็นไปตาม PNP-PCT-PSY-001 ข้อ 8</w:t>
      </w:r>
    </w:p>
    <w:p>
      <w:pPr>
        <w:keepNext/>
        <w:spacing w:before="200" w:after="6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6"/>
          <w:szCs w:val="36"/>
          <w:cs/>
          <w:lang w:val="th-TH" w:eastAsia="th-TH" w:bidi="th-TH"/>
        </w:rPr>
        <w:t>11. บัญชีทรัพย์สินของผู้ป่วย (มาตรฐานข้อ 19.1.3 ช)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ทำบัญชีทรัพย์สินทุกรายที่รับไว้ในหอผู้ป่วยปิด ตามแบบ FM-PCT-PSY-006 โดยเจ้าหน้าที่ 2 คน ต่อหน้าผู้ป่วยหรือญาติเท่าที่ทำได้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ของมีค่าให้ญาตินำกลับเป็นหลัก หากต้องเก็บรักษาให้เป็นไปตามระเบียบการรับฝากทรัพย์สินของโรงพยาบาล (TBD — อ้างเลขที่ระเบียบ)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เมื่อย้ายหน่วยงาน ให้ส่งมอบบัญชีและทรัพย์สินพร้อมลงนามผู้ส่งและผู้รับ เมื่อจำหน่ายให้คืนและลงนามรับคืน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หากโรงพยาบาลมีแบบบัญชีทรัพย์สินกลางแล้ว ให้ใช้แบบของโรงพยาบาลแทน FM-PCT-PSY-006 (TBD — ต้องตรวจสอบกับศูนย์พัฒนาคุณภาพ)</w:t>
      </w:r>
    </w:p>
    <w:p>
      <w:pPr>
        <w:keepNext/>
        <w:spacing w:before="200" w:after="6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6"/>
          <w:szCs w:val="36"/>
          <w:cs/>
          <w:lang w:val="th-TH" w:eastAsia="th-TH" w:bidi="th-TH"/>
        </w:rPr>
        <w:t>12. การรักษาความลับและความปลอดภัยของเวชระเบียน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การเข้าถึงเวชระเบียนผู้ป่วยจิตเวชจำกัดตามบทบาทและวัตถุประสงค์ที่โรงพยาบาลอนุญาต ได้แก่ ผู้ที่มีหน้าที่ดูแลผู้ป่วยรายนั้น และผู้ที่ได้รับมอบหมายให้ตรวจสอบคุณภาพเวชระเบียนหรือปฏิบัติงานเวชระเบียน (ตามข้อ 13 และ 14) โดยเข้าถึงเท่าที่จำเป็นต่องานนั้น ไม่ใช้บัญชีผู้ใช้ร่วมกัน ออกจากระบบทุกครั้งเมื่อเลิกใช้งาน และมีการตรวจสอบประวัติการเข้าถึงตามระเบียบของโรงพยาบาล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การเปิดเผยข้อมูลแก่บุคคลหรือหน่วยงานภายนอก ต้องได้รับความยินยอมเป็นลายลักษณ์อักษรจากผู้ป่วยหรือผู้มีอำนาจกระทำการแทน เว้นแต่กฎหมายกำหนดให้เปิดเผย และต้องบันทึกว่าเปิดเผยอะไร แก่ใคร เมื่อใด ฐานของการเปิดเผยในแต่ละกรณีให้นิติกรของโรงพยาบาลยืนยัน (TBD)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ไม่ถ่ายภาพ บันทึกเสียง หรือส่งต่อข้อมูลผู้ป่วยผ่านช่องทางส่วนตัว การปรึกษาระหว่างทีมให้ใช้ช่องทางที่โรงพยาบาลกำหนด และไม่ระบุตัวผู้ป่วยเกินจำเป็น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เอกสารกระดาษที่มีข้อมูลผู้ป่วยเก็บในที่ล็อกได้ ไม่วางในจุดที่ผู้ป่วยอื่นหรือญาติมองเห็น และทำลายตามระเบียบของโรงพยาบาล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เอกสารคุณภาพ ทะเบียน และรายงานของหน่วยงานที่เผยแพร่นอกทีมรักษา ต้องไม่มีชื่อ เลขประจำตัวผู้ป่วย หรือข้อมูลที่ระบุตัวผู้ป่วยได้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รายละเอียดอื่นเป็นไปตามระเบียบเวชระเบียนและนโยบายความมั่นคงปลอดภัยข้อมูลของโรงพยาบาล (TBD — อ้างเลขที่เอกสารของโรงพยาบาล)</w:t>
      </w:r>
    </w:p>
    <w:p>
      <w:pPr>
        <w:keepNext/>
        <w:spacing w:before="200" w:after="6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6"/>
          <w:szCs w:val="36"/>
          <w:cs/>
          <w:lang w:val="th-TH" w:eastAsia="th-TH" w:bidi="th-TH"/>
        </w:rPr>
        <w:t>13. การตรวจสอบความครบถ้วนของเวชระเบียน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หัวหน้าหอผู้ป่วยจัดให้มีการสุ่มตรวจเวชระเบียนด้วยแบบ FM-PCT-PSY-007 ทุกเดือน จำนวนตัวอย่าง TBD (ข้อเสนอ: ไม่น้อยกว่า 10 ฉบับต่อหอผู้ป่วยต่อเดือน)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ผู้ตรวจไม่ใช่ผู้บันทึกเวชระเบียนฉบับนั้น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สรุปผลรายเดือนเสนอ PCT จิตเวช และแจ้งผลกลับแก่ผู้บันทึกเป็นรายบุคคล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ก่อนการเยี่ยมสำรวจ ให้คัดเลือกเวชระเบียนตัวอย่างอย่างน้อย 4 ฉบับตามตารางคัดเลือกท้ายแบบ FM-PCT-PSY-007</w:t>
      </w:r>
    </w:p>
    <w:p>
      <w:pPr>
        <w:keepNext/>
        <w:spacing w:before="200" w:after="6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6"/>
          <w:szCs w:val="36"/>
          <w:cs/>
          <w:lang w:val="th-TH" w:eastAsia="th-TH" w:bidi="th-TH"/>
        </w:rPr>
        <w:t>14. บทบาทหน้าที่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2834"/>
        <w:gridCol w:w="6803"/>
      </w:tblGrid>
      <w:tr>
        <w:trPr>
          <w:tblHeader/>
          <w:cantSplit/>
        </w:trPr>
        <w:tc>
          <w:tcPr>
            <w:tcW w:w="283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ผู้เกี่ยวข้อง</w:t>
            </w:r>
          </w:p>
        </w:tc>
        <w:tc>
          <w:tcPr>
            <w:tcW w:w="6803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หน้าที่ตามเอกสารนี้</w:t>
            </w:r>
          </w:p>
        </w:tc>
      </w:tr>
      <w:tr>
        <w:tc>
          <w:tcPr>
            <w:tcW w:w="28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แพทย์เจ้าของไข้ / จิตแพทย์</w:t>
            </w:r>
          </w:p>
        </w:tc>
        <w:tc>
          <w:tcPr>
            <w:tcW w:w="680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บันทึกการวินิจฉัย โรคร่วม การประเมินทางจิตเวชแรกรับ แผนการรักษา บันทึกความก้าวหน้า และสรุปการจำหน่าย</w:t>
            </w:r>
          </w:p>
        </w:tc>
      </w:tr>
      <w:tr>
        <w:tc>
          <w:tcPr>
            <w:tcW w:w="28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พยาบาลเจ้าของไข้</w:t>
            </w:r>
          </w:p>
        </w:tc>
        <w:tc>
          <w:tcPr>
            <w:tcW w:w="680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ประเมินแรกรับทางการพยาบาล บันทึกสถานะทางกฎหมายและข้อมูลจิตสังคม ทำบัญชีทรัพย์สิน บันทึกทางการพยาบาล</w:t>
            </w:r>
          </w:p>
        </w:tc>
      </w:tr>
      <w:tr>
        <w:tc>
          <w:tcPr>
            <w:tcW w:w="28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นักสังคมสงเคราะห์ / นักจิตวิทยา / เภสัชกร</w:t>
            </w:r>
          </w:p>
        </w:tc>
        <w:tc>
          <w:tcPr>
            <w:tcW w:w="680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บันทึกผลการประเมินและการบำบัดในส่วนของตน และร่วมเขียนแผนการรักษา</w:t>
            </w:r>
          </w:p>
        </w:tc>
      </w:tr>
      <w:tr>
        <w:tc>
          <w:tcPr>
            <w:tcW w:w="28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หัวหน้าหอผู้ป่วย</w:t>
            </w:r>
          </w:p>
        </w:tc>
        <w:tc>
          <w:tcPr>
            <w:tcW w:w="680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กำกับให้การประเมินและแผนเสร็จใน 96 ชั่วโมง จัดการสุ่มตรวจรายเดือน และแจ้งผลกลับ</w:t>
            </w:r>
          </w:p>
        </w:tc>
      </w:tr>
      <w:tr>
        <w:tc>
          <w:tcPr>
            <w:tcW w:w="28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ประธาน PCT จิตเวช</w:t>
            </w:r>
          </w:p>
        </w:tc>
        <w:tc>
          <w:tcPr>
            <w:tcW w:w="680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ทบทวนผลสุ่มตรวจและตัวชี้วัดทุกไตรมาส สั่งการแก้ไขเมื่อไม่ถึงเป้า</w:t>
            </w:r>
          </w:p>
        </w:tc>
      </w:tr>
      <w:tr>
        <w:tc>
          <w:tcPr>
            <w:tcW w:w="283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งานเวชระเบียนของโรงพยาบาล</w:t>
            </w:r>
          </w:p>
        </w:tc>
        <w:tc>
          <w:tcPr>
            <w:tcW w:w="6803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กำกับการเข้าถึง การจัดเก็บ และการทำลายเวชระเบียนตามระเบียบของโรงพยาบาล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keepNext/>
        <w:spacing w:before="200" w:after="6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6"/>
          <w:szCs w:val="36"/>
          <w:cs/>
          <w:lang w:val="th-TH" w:eastAsia="th-TH" w:bidi="th-TH"/>
        </w:rPr>
        <w:t>15. ตัวชี้วัด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2607"/>
        <w:gridCol w:w="3174"/>
        <w:gridCol w:w="1870"/>
        <w:gridCol w:w="1984"/>
      </w:tblGrid>
      <w:tr>
        <w:trPr>
          <w:tblHeader/>
          <w:cantSplit/>
        </w:trPr>
        <w:tc>
          <w:tcPr>
            <w:tcW w:w="260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ตัวชี้วัด</w:t>
            </w:r>
          </w:p>
        </w:tc>
        <w:tc>
          <w:tcPr>
            <w:tcW w:w="317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ตัวตั้ง / ตัวหาร</w:t>
            </w:r>
          </w:p>
        </w:tc>
        <w:tc>
          <w:tcPr>
            <w:tcW w:w="1870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เป้าหมาย</w:t>
            </w:r>
          </w:p>
        </w:tc>
        <w:tc>
          <w:tcPr>
            <w:tcW w:w="198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ความถี่ · แหล่งข้อมูล</w:t>
            </w:r>
          </w:p>
        </w:tc>
      </w:tr>
      <w:tr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แผนการรักษาเฉพาะรายเสร็จภายใน 96 ชั่วโมง</w:t>
            </w:r>
          </w:p>
        </w:tc>
        <w:tc>
          <w:tcPr>
            <w:tcW w:w="317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จำนวนรายที่แผนเสร็จใน 96 ชม. / จำนวนเวชระเบียนที่สุ่มตรวจ</w:t>
            </w:r>
          </w:p>
        </w:tc>
        <w:tc>
          <w:tcPr>
            <w:tcW w:w="187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ร้อยละ 100</w:t>
            </w:r>
          </w:p>
        </w:tc>
        <w:tc>
          <w:tcPr>
            <w:tcW w:w="198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รายเดือน · FM-PCT-PSY-007</w:t>
            </w:r>
          </w:p>
        </w:tc>
      </w:tr>
      <w:tr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มีบันทึกการประเมินโรคร่วม</w:t>
            </w:r>
          </w:p>
        </w:tc>
        <w:tc>
          <w:tcPr>
            <w:tcW w:w="317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จำนวนรายที่มีบันทึกโรคร่วมหรือบันทึกว่าประเมินแล้วไม่พบ / จำนวนที่สุ่มตรวจ</w:t>
            </w:r>
          </w:p>
        </w:tc>
        <w:tc>
          <w:tcPr>
            <w:tcW w:w="187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ร้อยละ 100</w:t>
            </w:r>
          </w:p>
        </w:tc>
        <w:tc>
          <w:tcPr>
            <w:tcW w:w="198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รายเดือน · FM-PCT-PSY-007</w:t>
            </w:r>
          </w:p>
        </w:tc>
      </w:tr>
      <w:tr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บันทึกความก้าวหน้าตามความถี่ขั้นต่ำ</w:t>
            </w:r>
          </w:p>
        </w:tc>
        <w:tc>
          <w:tcPr>
            <w:tcW w:w="317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จำนวนรายที่บันทึกครบตามข้อ 9 / จำนวนที่สุ่มตรวจ</w:t>
            </w:r>
          </w:p>
        </w:tc>
        <w:tc>
          <w:tcPr>
            <w:tcW w:w="187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 (เป้าตั้งต้นที่เสนอ: ร้อยละ 90 ขึ้นไป)</w:t>
            </w:r>
          </w:p>
        </w:tc>
        <w:tc>
          <w:tcPr>
            <w:tcW w:w="198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รายเดือน · FM-PCT-PSY-007</w:t>
            </w:r>
          </w:p>
        </w:tc>
      </w:tr>
      <w:tr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สรุปการจำหน่ายครบ 3 องค์ประกอบ</w:t>
            </w:r>
          </w:p>
        </w:tc>
        <w:tc>
          <w:tcPr>
            <w:tcW w:w="317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จำนวนรายที่ครบ / จำนวนเวชระเบียนจำหน่ายที่สุ่มตรวจ</w:t>
            </w:r>
          </w:p>
        </w:tc>
        <w:tc>
          <w:tcPr>
            <w:tcW w:w="187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 (เป้าตั้งต้นที่เสนอ: ร้อยละ 90 ขึ้นไป)</w:t>
            </w:r>
          </w:p>
        </w:tc>
        <w:tc>
          <w:tcPr>
            <w:tcW w:w="198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รายเดือน · FM-PCT-PSY-007</w:t>
            </w:r>
          </w:p>
        </w:tc>
      </w:tr>
      <w:tr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คะแนนความครบถ้วนเวชระเบียนเฉลี่ย</w:t>
            </w:r>
          </w:p>
        </w:tc>
        <w:tc>
          <w:tcPr>
            <w:tcW w:w="317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ผลรวมร้อยละคะแนนของทุกฉบับ / จำนวนฉบับ</w:t>
            </w:r>
          </w:p>
        </w:tc>
        <w:tc>
          <w:tcPr>
            <w:tcW w:w="187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98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รายไตรมาส · สรุปผลสุ่มตรวจ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i/>
          <w:iCs/>
          <w:sz w:val="30"/>
          <w:szCs w:val="30"/>
          <w:cs/>
          <w:lang w:val="th-TH" w:eastAsia="th-TH" w:bidi="th-TH"/>
        </w:rPr>
        <w:t>ค่าเป้าหมายที่ระบุ TBD ยังไม่มีข้อมูลฐานของหน่วยงาน ให้เก็บข้อมูลจริง 1 ไตรมาสแล้วจึงกำหนด</w:t>
      </w:r>
    </w:p>
    <w:p>
      <w:pPr>
        <w:keepNext/>
        <w:spacing w:before="200" w:after="6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6"/>
          <w:szCs w:val="36"/>
          <w:cs/>
          <w:lang w:val="th-TH" w:eastAsia="th-TH" w:bidi="th-TH"/>
        </w:rPr>
        <w:t>16. การลงนามอนุมัติ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3212"/>
        <w:gridCol w:w="3212"/>
        <w:gridCol w:w="3212"/>
      </w:tblGrid>
      <w:tr>
        <w:trPr>
          <w:tblHeader/>
          <w:cantSplit/>
        </w:trPr>
        <w:tc>
          <w:tcPr>
            <w:tcW w:w="3212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ผู้จัดทำ</w:t>
            </w:r>
          </w:p>
        </w:tc>
        <w:tc>
          <w:tcPr>
            <w:tcW w:w="3212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ผู้ทบทวน</w:t>
            </w:r>
          </w:p>
        </w:tc>
        <w:tc>
          <w:tcPr>
            <w:tcW w:w="3212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ผู้อนุมัติ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ลงชื่อ ......................................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(..............................................)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หัวหน้าหอผู้ป่วยจิตเวช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วันที่ ......../......../........</w:t>
            </w:r>
          </w:p>
        </w:tc>
        <w:tc>
          <w:tcPr>
            <w:tcW w:w="321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ลงชื่อ ......................................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(นพ.ธงชัย เสรีรัตน์)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ประธาน PCT จิตเวช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วันที่ ......../......../........</w:t>
            </w:r>
          </w:p>
        </w:tc>
        <w:tc>
          <w:tcPr>
            <w:tcW w:w="321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ลงชื่อ ......................................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(..............................................)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ผู้อำนวยการโรงพยาบาลร้อยเอ็ด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วันที่ ......../......../........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ประวัติการแก้ไขเอกสาร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1247"/>
        <w:gridCol w:w="1700"/>
        <w:gridCol w:w="4875"/>
        <w:gridCol w:w="1814"/>
      </w:tblGrid>
      <w:tr>
        <w:trPr>
          <w:tblHeader/>
          <w:cantSplit/>
        </w:trPr>
        <w:tc>
          <w:tcPr>
            <w:tcW w:w="124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ฉบับที่</w:t>
            </w:r>
          </w:p>
        </w:tc>
        <w:tc>
          <w:tcPr>
            <w:tcW w:w="1700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วันที่</w:t>
            </w:r>
          </w:p>
        </w:tc>
        <w:tc>
          <w:tcPr>
            <w:tcW w:w="4875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รายละเอียด</w:t>
            </w:r>
          </w:p>
        </w:tc>
        <w:tc>
          <w:tcPr>
            <w:tcW w:w="181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ผู้แก้ไข</w:t>
            </w:r>
          </w:p>
        </w:tc>
      </w:tr>
      <w:t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0.9 (ร่าง)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3 ต.ค. 2569</w:t>
            </w:r>
          </w:p>
        </w:tc>
        <w:tc>
          <w:tcPr>
            <w:tcW w:w="487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จัดทำใหม่เพื่อปิดช่องว่างมาตรฐาน AACI ข้อ 19.1 ตามแบบประเมินตนเอง AACI-STD19-PCT-PSY-2569-02</w:t>
            </w:r>
          </w:p>
        </w:tc>
        <w:tc>
          <w:tcPr>
            <w:tcW w:w="181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PCT จิตเวช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TH SarabunPSK" w:hAnsi="TH SarabunPSK" w:eastAsia="TH SarabunPSK" w:cs="TH SarabunPSK"/>
        <w:color w:val="595959"/>
        <w:sz w:val="26"/>
        <w:szCs w:val="26"/>
        <w:cs/>
        <w:lang w:val="th-TH" w:eastAsia="th-TH" w:bidi="th-TH"/>
      </w:rPr>
      <w:t xml:space="preserve">PNP-PCT-PSY-002 · หน้า 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begin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instrText xml:space="preserve"> PAGE </w:instrTex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separate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t>1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end"/>
    </w:r>
    <w:r>
      <w:rPr>
        <w:rFonts w:ascii="TH SarabunPSK" w:hAnsi="TH SarabunPSK" w:eastAsia="TH SarabunPSK" w:cs="TH SarabunPSK"/>
        <w:color w:val="595959"/>
        <w:sz w:val="26"/>
        <w:szCs w:val="26"/>
        <w:cs/>
        <w:lang w:val="th-TH" w:eastAsia="th-TH" w:bidi="th-TH"/>
      </w:rPr>
      <w:t xml:space="preserve"> / 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begin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instrText xml:space="preserve"> NUMPAGES </w:instrTex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separate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t>1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5397"/>
      <w:gridCol w:w="4240"/>
    </w:tblGrid>
    <w:tr>
      <w:tc>
        <w:tcPr>
          <w:tcW w:w="5397" w:type="dxa"/>
          <w:tcBorders>
            <w:bottom w:val="single" w:sz="6" w:space="0" w:color="808080"/>
          </w:tcBorders>
        </w:tcPr>
        <w:p>
          <w:pPr>
            <w:spacing w:before="0" w:after="0" w:line="240" w:lineRule="auto"/>
            <w:jc w:val="left"/>
          </w:pPr>
          <w:r>
            <w:rPr>
              <w:rFonts w:ascii="TH SarabunPSK" w:hAnsi="TH SarabunPSK" w:eastAsia="TH SarabunPSK" w:cs="TH SarabunPSK"/>
              <w:color w:val="595959"/>
              <w:sz w:val="26"/>
              <w:szCs w:val="26"/>
              <w:cs/>
              <w:lang w:val="th-TH" w:eastAsia="th-TH" w:bidi="th-TH"/>
            </w:rPr>
            <w:t>โรงพยาบาลร้อยเอ็ด · กลุ่มงานจิตเวชและยาเสพติด · PCT จิตเวช</w:t>
          </w:r>
        </w:p>
      </w:tc>
      <w:tc>
        <w:tcPr>
          <w:tcW w:w="4240" w:type="dxa"/>
          <w:tcBorders>
            <w:bottom w:val="single" w:sz="6" w:space="0" w:color="808080"/>
          </w:tcBorders>
        </w:tcPr>
        <w:p>
          <w:pPr>
            <w:spacing w:before="0" w:after="0" w:line="240" w:lineRule="auto"/>
            <w:jc w:val="right"/>
          </w:pPr>
          <w:r>
            <w:rPr>
              <w:rFonts w:ascii="TH SarabunPSK" w:hAnsi="TH SarabunPSK" w:eastAsia="TH SarabunPSK" w:cs="TH SarabunPSK"/>
              <w:b/>
              <w:bCs/>
              <w:color w:val="595959"/>
              <w:sz w:val="26"/>
              <w:szCs w:val="26"/>
              <w:cs/>
              <w:lang w:val="th-TH" w:eastAsia="th-TH" w:bidi="th-TH"/>
            </w:rPr>
            <w:t>รหัสเอกสาร: PNP-PCT-PSY-002 (ร่าง)</w:t>
          </w:r>
        </w:p>
      </w:tc>
    </w:tr>
  </w:tbl>
  <w:p>
    <w:pPr>
      <w:pStyle w:val="Header"/>
      <w:spacing w:before="0" w:after="0" w:line="40" w:lineRule="exact"/>
      <w:jc w:val="left"/>
    </w:pPr>
    <w:r>
      <w:rPr>
        <w:rFonts w:ascii="TH SarabunPSK" w:hAnsi="TH SarabunPSK" w:eastAsia="TH SarabunPSK" w:cs="TH SarabunPSK"/>
        <w:sz w:val="4"/>
        <w:szCs w:val="4"/>
        <w:cs/>
        <w:lang w:val="th-TH" w:eastAsia="th-TH" w:bidi="th-TH"/>
      </w:rPr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hAnsi="TH SarabunPSK" w:eastAsia="TH SarabunPSK" w:cs="TH SarabunPSK"/>
        <w:sz w:val="32"/>
        <w:szCs w:val="32"/>
        <w:lang w:val="th-TH" w:eastAsia="th-TH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PSK" w:hAnsi="TH SarabunPSK" w:eastAsia="TH SarabunPSK" w:cs="TH SarabunPSK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H SarabunPSK" w:hAnsi="TH SarabunPSK" w:eastAsia="TH SarabunPSK" w:cs="TH SarabunPSK"/>
      <w:sz w:val="32"/>
      <w:szCs w:val="3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rPr>
      <w:rFonts w:ascii="TH SarabunPSK" w:hAnsi="TH SarabunPSK" w:eastAsia="TH SarabunPSK" w:cs="TH SarabunPSK"/>
      <w:sz w:val="32"/>
      <w:szCs w:val="32"/>
    </w:r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