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PSK" w:hAnsi="TH SarabunPSK" w:eastAsia="TH SarabunPSK" w:cs="TH SarabunPSK"/>
          <w:b/>
          <w:bCs/>
          <w:sz w:val="40"/>
          <w:szCs w:val="40"/>
          <w:cs/>
          <w:lang w:val="th-TH" w:eastAsia="th-TH" w:bidi="th-TH"/>
        </w:rPr>
        <w:t>แนวปฏิบัติบริการสังคมสงเคราะห์สำหรับผู้ป่วยจิตเวชและยาเสพติด</w:t>
      </w:r>
    </w:p>
    <w:p>
      <w:pPr>
        <w:spacing w:before="0" w:after="0" w:line="240" w:lineRule="auto"/>
        <w:jc w:val="center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กลุ่มงานจิตเวชและยาเสพติด ร่วมกับกลุ่มงานสังคมสงเคราะห์ โรงพยาบาลร้อยเอ็ด — ตอบมาตรฐาน AACI ฉบับที่ 6.0 ข้อ 19.3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w="9638" w:type="dxa"/>
            <w:shd w:val="clear" w:color="auto" w:fill="FFEB9C"/>
          </w:tcPr>
          <w:p>
            <w:pPr>
              <w:spacing w:before="0" w:after="2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สถานะ: ร่าง — เสนอ PCT จิตเวชและกลุ่มงานสังคมสงเคราะห์พิจารณา ยังไม่มีผลบังคับใช้จนกว่าจะลงนามครบ</w:t>
            </w:r>
          </w:p>
        </w:tc>
      </w:tr>
    </w:tbl>
    <w:p>
      <w:pPr>
        <w:spacing w:before="0" w:after="0" w:line="80" w:lineRule="exact"/>
        <w:jc w:val="left"/>
      </w:pPr>
      <w:r>
        <w:rPr>
          <w:rFonts w:ascii="TH SarabunPSK" w:hAnsi="TH SarabunPSK" w:eastAsia="TH SarabunPSK" w:cs="TH SarabunPSK"/>
          <w:sz w:val="4"/>
          <w:szCs w:val="4"/>
          <w:cs/>
          <w:lang w:val="th-TH" w:eastAsia="th-TH" w:bidi="th-TH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381"/>
        <w:gridCol w:w="7256"/>
      </w:tblGrid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รหัสเอกสาร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PNP-PCT-PSY-003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ฉบับที่ / วันที่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ฉบับที่ 0.9 (ร่าง) · 3 ตุลาคม 2569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ผู้รับผิดชอบเอกสาร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หัวหน้ากลุ่มงานสังคมสงเคราะห์ ร่วมกับประธาน PCT จิตเวช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ขอบเขตการใช้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ผู้ป่วยในของหอผู้ป่วยจิตเวชและมินิธัญญารักษ์สวนพะยอม และการดูแลต่อเนื่องหลังจำหน่าย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เอกสารที่เกี่ยวข้อง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PNP-PCT-PSY-001 (ร่าง) · PNP-PCT-PSY-002 (ร่าง) · FM-PCT-PSY-004 แบบคัดกรองผู้ป่วยกลุ่มเสี่ยงสูง 4 มิติ (ร่าง) · REG-PCT-PSY-001 ทะเบียนเชื่อมการดูแลต่อเนื่อง (ร่าง) · เครื่องมือประเมินทางสังคมและเครื่องมือประเมินความพร้อมครอบครัวของกลุ่มงานสังคมสงเคราะห์</w:t>
            </w:r>
          </w:p>
        </w:tc>
      </w:tr>
      <w:tr>
        <w:tc>
          <w:tcPr>
            <w:tcW w:w="2381" w:type="dxa"/>
            <w:shd w:val="clear" w:color="auto"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รอบทบทวน</w:t>
            </w:r>
          </w:p>
        </w:tc>
        <w:tc>
          <w:tcPr>
            <w:tcW w:w="7256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ทุก 2 ปี หรือเมื่อมาตรฐาน กฎหมาย หรือโครงสร้างบริการเปลี่ยน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1. เหตุผลและที่มา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แบบประเมินตนเองตามมาตรฐาน AACI ข้อ 19 ระบุว่า กิจกรรมด้านสังคมของหน่วยงานมีอยู่จริงและเข้มแข็ง ได้แก่ เครือข่ายดูแลต่อเนื่องในชุมชน การเยี่ยมบ้าน การทำงานกับครอบครัว และการจัดการรายกรณี แต่ยังไม่มีแนวปฏิบัติเป็นลายลักษณ์อักษรที่ระบุผู้กำกับคุณภาพ บทบาทของนักสังคมสงเคราะห์ และกลไกแลกเปลี่ยนข้อมูลกับหน่วยงานภายนอก เอกสารนี้จัดทำเพื่อปิดช่องว่างดังกล่าว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30"/>
          <w:szCs w:val="30"/>
          <w:cs/>
          <w:lang w:val="th-TH" w:eastAsia="th-TH" w:bidi="th-TH"/>
        </w:rPr>
        <w:t>ความถูกต้องของแหล่งอ้างอิง: ข้อความข้อ 19.3 ใช้จากเอกสารของทีมโรงพยาบาล ยังไม่ได้สอบทานกับหนังสือมาตรฐานฉบับทางการ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2. วัตถุประสงค์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ให้บริการสังคมสงเคราะห์เป็นส่วนหนึ่งของการดูแลผู้ป่วยจิตเวชและยาเสพติด ตามมาตรฐานวิชาชีพและระเบียบของโรงพยาบาล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ให้มีผู้กำกับคุณภาพบริการสังคมสงเคราะห์ที่ระบุตัวได้ และมีการติดตามประเมินเป็นรอบ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ให้นักสังคมสงเคราะห์มีส่วนร่วมในการวางแผนจำหน่าย การดูแลต่อเนื่อง และการแลกเปลี่ยนข้อมูลกับหน่วยงานภายนอก โดยมีหลักฐานในเวชระเบียน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ให้ผู้ป่วยเข้าถึงทรัพยากรในชุมชนที่ตรงกับความต้องการทางสังคมของตน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3. โครงสร้างและผู้รับผิดชอบ (มาตรฐานข้อ 19.3.1–19.3.2)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607"/>
        <w:gridCol w:w="2721"/>
        <w:gridCol w:w="4308"/>
      </w:tblGrid>
      <w:tr>
        <w:trPr>
          <w:tblHeader/>
          <w:cantSplit/>
        </w:trPr>
        <w:tc>
          <w:tcPr>
            <w:tcW w:w="260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บทบาท</w:t>
            </w:r>
          </w:p>
        </w:tc>
        <w:tc>
          <w:tcPr>
            <w:tcW w:w="272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ผู้รับผิดชอบ</w:t>
            </w:r>
          </w:p>
        </w:tc>
        <w:tc>
          <w:tcPr>
            <w:tcW w:w="4308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หน้าที่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ผู้กำกับคุณภาพบริการสังคมสงเคราะห์</w:t>
            </w:r>
          </w:p>
        </w:tc>
        <w:tc>
          <w:tcPr>
            <w:tcW w:w="272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หัวหน้ากลุ่มงานสังคมสงเคราะห์ (ชื่อ: TBD — ระบุตามคำสั่งแต่งตั้ง)</w:t>
            </w:r>
          </w:p>
        </w:tc>
        <w:tc>
          <w:tcPr>
            <w:tcW w:w="430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ติดตามและประเมินคุณภาพและความเหมาะสมของบริการสังคมสงเคราะห์ที่ให้แก่ผู้ป่วยจิตเวช ตามข้อ 10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นักสังคมสงเคราะห์ที่รับผิดชอบผู้ป่วยจิตเวชและยาเสพติด</w:t>
            </w:r>
          </w:p>
        </w:tc>
        <w:tc>
          <w:tcPr>
            <w:tcW w:w="272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ชื่อ: TBD · จำนวน: TBD</w:t>
            </w:r>
          </w:p>
        </w:tc>
        <w:tc>
          <w:tcPr>
            <w:tcW w:w="430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รับปรึกษา ประเมิน วางแผน ประสานงาน และบันทึกในเวชระเบียน ตามข้อ 5–8</w:t>
            </w:r>
          </w:p>
        </w:tc>
      </w:tr>
      <w:tr>
        <w:tc>
          <w:tcPr>
            <w:tcW w:w="260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ผู้จัดการรายกรณี / พยาบาลเจ้าของไข้</w:t>
            </w:r>
          </w:p>
        </w:tc>
        <w:tc>
          <w:tcPr>
            <w:tcW w:w="272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ตามที่หอผู้ป่วยมอบหมาย</w:t>
            </w:r>
          </w:p>
        </w:tc>
        <w:tc>
          <w:tcPr>
            <w:tcW w:w="430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คัดกรอง ส่งปรึกษาตามเกณฑ์ และร่วมวางแผนจำหน่าย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คุณสมบัติของผู้กำกับคุณภาพบริการสังคมสงเคราะห์: ตามที่โรงพยาบาลกำหนด (TBD) และเป็นไปตามกฎหมายว่าด้วยวิชาชีพสังคมสงเคราะห์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ตามข้อกำหนด 19.3.2 (ข้อความในชีตของทีมโรงพยาบาล) ผู้กำกับคุณภาพบริการสังคมสงเคราะห์ต้องได้รับการอนุมัติจากทั้งองค์กรแพทย์และคณะกรรมการกำกับดูแล ซึ่งต่างจากแพทย์ผู้กำกับดูแลบริการผู้ป่วยในตามข้อ 19.2.2 ที่องค์กรแพทย์เป็นผู้เสนอชื่อ หลักฐานที่ต้องมีคือเอกสารแสดงการอนุมัติของทั้ง 2 องค์คณะ และคำสั่งแต่งตั้ง (ดูร่าง ORD-PCT-PSY-2569-01 หรือคำสั่งที่มีอยู่แล้วของโรงพยาบาล — TBD)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4. เกณฑ์ส่งปรึกษานักสังคมสงเคราะห์</w:t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พยาบาลเจ้าของไข้หรือแพทย์ส่งปรึกษาเมื่อพบข้อใดข้อหนึ่ง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1)</w:t>
        <w:tab/>
        <w:t>ผลคัดกรอง FM-PCT-PSY-004 ติดธงในมิติครอบครัวและการดูแลที่บ้าน หรือมิติความต้องการทางจิตสังคม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2)</w:t>
        <w:tab/>
        <w:t>ไม่มีญาติ ไม่มีผู้ดูแล ไร้ที่พึ่ง หรือไม่มีที่พักหลังจำหน่าย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3)</w:t>
        <w:tab/>
        <w:t>มีปัญหาสิทธิการรักษา เอกสารประจำตัว หรือค่าใช้จ่าย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4)</w:t>
        <w:tab/>
        <w:t>สงสัยความรุนแรงในครอบครัว การทอดทิ้ง หรือการละเมิด โดยเฉพาะในเด็ก ผู้สูงอายุ และผู้พิการ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5)</w:t>
        <w:tab/>
        <w:t>ผู้ป่วยที่รับไว้ตามกฎหมาย มีคดี หรือถูกส่งมาจากหน่วยงานภายนอก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6)</w:t>
        <w:tab/>
        <w:t>ผู้ป่วยที่มีความเสี่ยงสูงต่อการก่อความรุนแรงซึ่งต้องมีแผนดูแลในชุมชน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7)</w:t>
        <w:tab/>
        <w:t>กลับมารักษาซ้ำโดยไม่ได้วางแผน หรือนอนโรงพยาบาลนานกว่าที่คาด</w:t>
      </w:r>
    </w:p>
    <w:p>
      <w:pPr>
        <w:tabs>
          <w:tab w:pos="510" w:val="left"/>
        </w:tabs>
        <w:spacing w:before="0" w:after="40" w:line="240" w:lineRule="auto"/>
        <w:ind w:left="510" w:hanging="397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8)</w:t>
        <w:tab/>
        <w:t>ผู้ป่วยยาเสพติดที่ต้องการการสนับสนุนด้านอาชีพ การศึกษา หรือที่พักพิงเพื่อคงการบำบัดต่อเนื่อง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5. ขั้นตอนบริการ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814"/>
        <w:gridCol w:w="3174"/>
        <w:gridCol w:w="2381"/>
        <w:gridCol w:w="2267"/>
      </w:tblGrid>
      <w:tr>
        <w:trPr>
          <w:tblHeader/>
          <w:cantSplit/>
        </w:trPr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ขั้นตอน</w:t>
            </w:r>
          </w:p>
        </w:tc>
        <w:tc>
          <w:tcPr>
            <w:tcW w:w="31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สิ่งที่ทำ</w:t>
            </w:r>
          </w:p>
        </w:tc>
        <w:tc>
          <w:tcPr>
            <w:tcW w:w="238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กรอบเวลา</w:t>
            </w:r>
          </w:p>
        </w:tc>
        <w:tc>
          <w:tcPr>
            <w:tcW w:w="226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หลักฐานในเวชระเบียน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1. รับปรึกษา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รับใบส่งปรึกษาหรือการแจ้งจากหอผู้ป่วย ทบทวนเวชระเบียน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ภายใน TBD วันทำการ (ข้อเสนอ: 1 วันทำการ)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ใบส่งปรึกษา ระบุวันเวลา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2. ประเมินทางสังคม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สัมภาษณ์ผู้ป่วย ญาติ และแหล่งข้อมูลอื่น ด้วยเครื่องมือประเมินทางสังคมและเครื่องมือประเมินความพร้อมครอบครัว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ผู้ป่วยที่มีข้อบ่งชี้ส่งปรึกษาตั้งแต่แรกรับ: เสร็จภายใน 96 ชั่วโมงหลังรับไว้ (ตรงกับ PNP-PCT-PSY-001 ข้อ 7 และ PNP-PCT-PSY-002 ข้อ 5 จ) · ผู้ป่วยที่เกิดข้อบ่งชี้หรือส่งปรึกษาภายหลัง: ภายใน TBD วันทำการนับจากวันส่งปรึกษา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บันทึกการประเมินทางสังคม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3. วางแผน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กำหนดปัญหาทางสังคม เป้าหมาย และกิจกรรม ใส่ในแผนการรักษาเฉพาะราย FM-PCT-PSY-005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พร้อมแผนการรักษา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ชื่อและความรับผิดชอบของนักสังคมสงเคราะห์ในแผน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4. ดำเนินการและประสานงาน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ให้การปรึกษา ทำงานกับครอบครัว ประสานสิทธิและทรัพยากร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ตลอดการรักษา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บันทึกความก้าวหน้าของนักสังคมสงเคราะห์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5. ร่วมวางแผนจำหน่าย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ตามข้อ 6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เริ่มภายใน 72 ชั่วโมงแรกร่วมกับทีม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บันทึกในแผนจำหน่าย</w:t>
            </w:r>
          </w:p>
        </w:tc>
      </w:tr>
      <w:tr>
        <w:tc>
          <w:tcPr>
            <w:tcW w:w="1814" w:type="dxa"/>
          </w:tcPr>
          <w:p>
            <w:pPr>
              <w:spacing w:before="0" w:after="0" w:line="240" w:lineRule="auto"/>
              <w:ind w:left="255" w:hanging="255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6. ส่งต่อและติดตาม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ตามข้อ 7 และ 8</w:t>
            </w:r>
          </w:p>
        </w:tc>
        <w:tc>
          <w:tcPr>
            <w:tcW w:w="238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ก่อนจำหน่ายและหลังจำหน่าย</w:t>
            </w:r>
          </w:p>
        </w:tc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บันทึกการส่งข้อมูลและผลติดตาม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6. การมีส่วนร่วมในการวางแผนจำหน่าย (มาตรฐานข้อ 19.3.3 ก)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เข้าร่วมการทบทวนผู้ป่วยของทีมสหวิชาชีพสำหรับผู้ป่วยที่ได้รับการส่งปรึกษา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ประเมินความพร้อมของครอบครัวและที่อยู่อาศัยก่อนจำหน่าย และแจ้งผลแก่ทีม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จัดการเรื่องสิทธิ สวัสดิการ ผู้ดูแล และที่พัก ให้เสร็จก่อนวันจำหน่ายเท่าที่ทำได้ เรื่องที่ไม่เสร็จให้บันทึกผู้รับช่วงต่อ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ลงชื่อในแผนจำหน่ายของผู้ป่วยที่ตนร่วมดูแล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7. การจัดการดูแลต่อเนื่องหลังจำหน่าย (มาตรฐานข้อ 19.3.3 ข)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ประสานหน่วยบริการที่รับดูแลต่อและหน่วยงานที่เกี่ยวข้องก่อนจำหน่าย สำหรับผู้ป่วยกลุ่มเสี่ยงสูง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ร่วมเยี่ยมบ้านหรือประชุมรายกรณีกับทีมชุมชนตามข้อบ่งชี้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ติดตามผลการส่งต่อด้านสังคมอย่างน้อย 1 ครั้งหลังจำหน่าย ภายใน TBD วัน และบันทึกผล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ผู้ป่วยยาเสพติดที่ส่งต่อเข้าโปรแกรมบำบัดต่อเนื่อง ให้ใช้ทะเบียน REG-PCT-PSY-001 เป็นเครื่องมือติดตามร่วมกับผู้ประสานโปรแกรม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8. กลไกแลกเปลี่ยนข้อมูลกับหน่วยงานภายนอก (มาตรฐานข้อ 19.3.3 ค)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267"/>
        <w:gridCol w:w="7370"/>
      </w:tblGrid>
      <w:tr>
        <w:trPr>
          <w:tblHeader/>
          <w:cantSplit/>
        </w:trPr>
        <w:tc>
          <w:tcPr>
            <w:tcW w:w="226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องค์ประกอบ</w:t>
            </w:r>
          </w:p>
        </w:tc>
        <w:tc>
          <w:tcPr>
            <w:tcW w:w="737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ข้อกำหนด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ผู้ประสานหลัก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นักสังคมสงเคราะห์ที่รับผิดชอบผู้ป่วยรายนั้น หรือผู้จัดการรายกรณี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ความยินยอม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ต้องมีความยินยอมเป็นลายลักษณ์อักษรจากผู้ป่วยหรือผู้มีอำนาจกระทำการแทนก่อนส่งข้อมูล เว้นแต่กฎหมายกำหนดให้เปิดเผย ฐานของการเปิดเผยในแต่ละกรณีให้นิติกรของโรงพยาบาลยืนยัน (TBD)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ข้อมูลขั้นต่ำที่ส่ง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เท่าที่จำเป็นต่อการดูแลต่อ ได้แก่ ความต้องการด้านสังคม แผนที่ตกลงกับผู้ป่วยและครอบครัว ผู้ติดต่อ และวันนัด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ช่องทาง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ช่องทางที่โรงพยาบาลกำหนดสำหรับการส่งต่อข้อมูลผู้ป่วย (TBD — ระบุช่องทางทางการ) ไม่ใช้ช่องทางส่วนตัว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การบันทึก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บันทึกในเวชระเบียนทุกครั้งว่าส่งข้อมูลอะไร ให้หน่วยงานใด เมื่อใด และได้รับข้อมูลตอบกลับอย่างไร</w:t>
            </w:r>
          </w:p>
        </w:tc>
      </w:tr>
      <w:tr>
        <w:tc>
          <w:tcPr>
            <w:tcW w:w="226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การรับข้อมูลเข้า</w:t>
            </w:r>
          </w:p>
        </w:tc>
        <w:tc>
          <w:tcPr>
            <w:tcW w:w="737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ข้อมูลจากหน่วยงานภายนอกที่ใช้ประกอบการรักษา ให้บันทึกที่มาและวันที่ได้รับ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9. โปรแกรมตอบสนองความต้องการทางสังคม และทรัพยากรในชุมชน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2494"/>
        <w:gridCol w:w="3174"/>
        <w:gridCol w:w="3968"/>
      </w:tblGrid>
      <w:tr>
        <w:trPr>
          <w:tblHeader/>
          <w:cantSplit/>
        </w:trPr>
        <w:tc>
          <w:tcPr>
            <w:tcW w:w="249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ความต้องการทางสังคม</w:t>
            </w:r>
          </w:p>
        </w:tc>
        <w:tc>
          <w:tcPr>
            <w:tcW w:w="31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บริการที่จัดให้</w:t>
            </w:r>
          </w:p>
        </w:tc>
        <w:tc>
          <w:tcPr>
            <w:tcW w:w="3968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ทรัพยากรในชุมชนที่ประสาน (ประเภทหน่วยงาน)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สิทธิการรักษาและสวัสดิการ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ตรวจสอบและประสานสิทธิ ช่วยเหลือค่าใช้จ่ายตามระเบียบ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หน่วยงานหลักประกันสุขภาพ · หน่วยงานพัฒนาสังคมและความมั่นคงของมนุษย์ · องค์กรปกครองส่วนท้องถิ่น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การจดทะเบียนคนพิการทางจิตใจหรือพฤติกรรม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ให้ข้อมูลและประสานการออกเอกสารรับรอง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หน่วยงานพัฒนาสังคมและความมั่นคงของมนุษย์จังหวัด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ครอบครัวและผู้ดูแล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สุขภาพจิตศึกษาครอบครัว การทำงานกับครอบครัว การประเมินภาระผู้ดูแล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โรงพยาบาลชุมชน · โรงพยาบาลส่งเสริมสุขภาพตำบล · อาสาสมัครสาธารณสุข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ที่อยู่อาศัยและการคุ้มครอง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ประสานที่พักพิงและการคุ้มครองสวัสดิภาพ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สถานคุ้มครองและที่พักพิงของรัฐ · ผู้นำชุมชน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อาชีพและการศึกษา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ประสานการฝึกอาชีพ การกลับเข้าเรียน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หน่วยงานแรงงานและพัฒนาฝีมือ · สถานศึกษา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ผู้ป่วยที่เกี่ยวข้องกับกระบวนการทางกฎหมาย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ประสานข้อมูลเท่าที่กฎหมายกำหนด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หน่วยงานยุติธรรม ปกครอง และตำรวจ ตามช่องทางทางการ</w:t>
            </w:r>
          </w:p>
        </w:tc>
      </w:tr>
      <w:tr>
        <w:tc>
          <w:tcPr>
            <w:tcW w:w="249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การดูแลต่อเนื่องในชุมชน</w:t>
            </w:r>
          </w:p>
        </w:tc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ส่งต่อเข้าเครือข่ายดูแลต่อเนื่องและการเยี่ยมบ้าน</w:t>
            </w:r>
          </w:p>
        </w:tc>
        <w:tc>
          <w:tcPr>
            <w:tcW w:w="3968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เครือข่ายบริการสุขภาพจิตของจังหวัด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sz w:val="30"/>
          <w:szCs w:val="30"/>
          <w:cs/>
          <w:lang w:val="th-TH" w:eastAsia="th-TH" w:bidi="th-TH"/>
        </w:rPr>
        <w:t>ทำเนียบหน่วยงานและผู้ติดต่อของแต่ละประเภท: TBD — กลุ่มงานสังคมสงเคราะห์จัดทำและปรับปรุงอย่างน้อยปีละ 1 ครั้ง เก็บเป็นเอกสารแนบของแนวปฏิบัตินี้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10. การติดตามและประเมินคุณภาพบริการ (มาตรฐานข้อ 19.3.1)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ผู้กำกับคุณภาพบริการสังคมสงเคราะห์ทบทวนผลการให้บริการผู้ป่วยจิตเวชทุกไตรมาส และรายงานต่อ PCT จิตเวช</w:t>
      </w:r>
    </w:p>
    <w:p>
      <w:pPr>
        <w:tabs>
          <w:tab w:pos="510" w:val="left"/>
        </w:tabs>
        <w:spacing w:before="0" w:after="40" w:line="240" w:lineRule="auto"/>
        <w:ind w:left="510" w:hanging="283"/>
        <w:jc w:val="left"/>
      </w:pPr>
      <w:r>
        <w:rPr>
          <w:rFonts w:ascii="TH SarabunPSK" w:hAnsi="TH SarabunPSK" w:eastAsia="TH SarabunPSK" w:cs="TH SarabunPSK"/>
          <w:sz w:val="32"/>
          <w:szCs w:val="32"/>
          <w:cs/>
          <w:lang w:val="th-TH" w:eastAsia="th-TH" w:bidi="th-TH"/>
        </w:rPr>
        <w:t>–</w:t>
        <w:tab/>
        <w:t>สุ่มทบทวนบันทึกของนักสังคมสงเคราะห์ในเวชระเบียน จำนวน TBD ฉบับต่อไตรมาส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174"/>
        <w:gridCol w:w="3401"/>
        <w:gridCol w:w="1247"/>
        <w:gridCol w:w="1814"/>
      </w:tblGrid>
      <w:tr>
        <w:trPr>
          <w:tblHeader/>
          <w:cantSplit/>
        </w:trPr>
        <w:tc>
          <w:tcPr>
            <w:tcW w:w="317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ตัวชี้วัด</w:t>
            </w:r>
          </w:p>
        </w:tc>
        <w:tc>
          <w:tcPr>
            <w:tcW w:w="3401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ตัวตั้ง / ตัวหาร</w:t>
            </w:r>
          </w:p>
        </w:tc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เป้าหมาย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ความถี่</w:t>
            </w:r>
          </w:p>
        </w:tc>
      </w:tr>
      <w:tr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ผู้ป่วยที่เข้าเกณฑ์ส่งปรึกษาได้รับการประเมินทางสังคม</w:t>
            </w:r>
          </w:p>
        </w:tc>
        <w:tc>
          <w:tcPr>
            <w:tcW w:w="34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จำนวนรายที่ได้รับการประเมิน / จำนวนรายที่เข้าเกณฑ์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รายไตรมาส</w:t>
            </w:r>
          </w:p>
        </w:tc>
      </w:tr>
      <w:tr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แผนจำหน่ายของผู้ป่วยที่ส่งปรึกษามีบันทึกของนักสังคมสงเคราะห์</w:t>
            </w:r>
          </w:p>
        </w:tc>
        <w:tc>
          <w:tcPr>
            <w:tcW w:w="34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จำนวนแผนที่มีบันทึก / จำนวนผู้ป่วยที่ส่งปรึกษาและจำหน่ายแล้ว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รายไตรมาส</w:t>
            </w:r>
          </w:p>
        </w:tc>
      </w:tr>
      <w:tr>
        <w:tc>
          <w:tcPr>
            <w:tcW w:w="317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การส่งต่อด้านสังคมที่มีบันทึกผลติดตาม</w:t>
            </w:r>
          </w:p>
        </w:tc>
        <w:tc>
          <w:tcPr>
            <w:tcW w:w="3401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จำนวนการส่งต่อที่มีผลติดตาม / จำนวนการส่งต่อทั้งหมด</w:t>
            </w:r>
          </w:p>
        </w:tc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TBD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รายไตรมาส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spacing w:before="0" w:after="80" w:line="240" w:lineRule="auto"/>
        <w:jc w:val="left"/>
      </w:pPr>
      <w:r>
        <w:rPr>
          <w:rFonts w:ascii="TH SarabunPSK" w:hAnsi="TH SarabunPSK" w:eastAsia="TH SarabunPSK" w:cs="TH SarabunPSK"/>
          <w:i/>
          <w:iCs/>
          <w:sz w:val="30"/>
          <w:szCs w:val="30"/>
          <w:cs/>
          <w:lang w:val="th-TH" w:eastAsia="th-TH" w:bidi="th-TH"/>
        </w:rPr>
        <w:t>ค่าเป้าหมายยังไม่มีข้อมูลฐาน ให้เก็บข้อมูลจริง 2 ไตรมาสแล้วจึงกำหนด</w:t>
      </w:r>
    </w:p>
    <w:p>
      <w:pPr>
        <w:keepNext/>
        <w:spacing w:before="200" w:after="6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6"/>
          <w:szCs w:val="36"/>
          <w:cs/>
          <w:lang w:val="th-TH" w:eastAsia="th-TH" w:bidi="th-TH"/>
        </w:rPr>
        <w:t>11. การลงนามอนุมัติ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3212"/>
        <w:gridCol w:w="3212"/>
        <w:gridCol w:w="3212"/>
      </w:tblGrid>
      <w:tr>
        <w:trPr>
          <w:tblHeader/>
          <w:cantSplit/>
        </w:trPr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ผู้จัดทำ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ผู้ทบทวน</w:t>
            </w:r>
          </w:p>
        </w:tc>
        <w:tc>
          <w:tcPr>
            <w:tcW w:w="3212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30"/>
                <w:szCs w:val="30"/>
                <w:cs/>
                <w:lang w:val="th-TH" w:eastAsia="th-TH" w:bidi="th-TH"/>
              </w:rPr>
              <w:t>ผู้อนุมัติ</w:t>
            </w:r>
          </w:p>
        </w:tc>
      </w:tr>
      <w:tr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หัวหน้ากลุ่มงานสังคมสงเคราะห์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(นพ.ธงชัย เสรีรัตน์)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ประธาน PCT จิตเวช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  <w:tc>
          <w:tcPr>
            <w:tcW w:w="321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ลงชื่อ ......................................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(..............................................)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ผู้อำนวยการโรงพยาบาลร้อยเอ็ด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sz w:val="30"/>
                <w:szCs w:val="30"/>
                <w:cs/>
                <w:lang w:val="th-TH" w:eastAsia="th-TH" w:bidi="th-TH"/>
              </w:rPr>
              <w:t>วันที่ ......../......../........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p>
      <w:pPr>
        <w:keepNext/>
        <w:spacing w:before="120" w:after="40" w:line="240" w:lineRule="auto"/>
        <w:jc w:val="left"/>
      </w:pPr>
      <w:r>
        <w:rPr>
          <w:rFonts w:ascii="TH SarabunPSK" w:hAnsi="TH SarabunPSK" w:eastAsia="TH SarabunPSK" w:cs="TH SarabunPSK"/>
          <w:b/>
          <w:bCs/>
          <w:sz w:val="32"/>
          <w:szCs w:val="32"/>
          <w:cs/>
          <w:lang w:val="th-TH" w:eastAsia="th-TH" w:bidi="th-TH"/>
        </w:rPr>
        <w:t>ประวัติการแก้ไขเอกสาร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30" w:type="dxa"/>
          <w:left w:w="70" w:type="dxa"/>
          <w:bottom w:w="30" w:type="dxa"/>
          <w:right w:w="70" w:type="dxa"/>
        </w:tblCellMar>
      </w:tblPr>
      <w:tblGrid>
        <w:gridCol w:w="1247"/>
        <w:gridCol w:w="1700"/>
        <w:gridCol w:w="4875"/>
        <w:gridCol w:w="1814"/>
      </w:tblGrid>
      <w:tr>
        <w:trPr>
          <w:tblHeader/>
          <w:cantSplit/>
        </w:trPr>
        <w:tc>
          <w:tcPr>
            <w:tcW w:w="1247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ฉบับที่</w:t>
            </w:r>
          </w:p>
        </w:tc>
        <w:tc>
          <w:tcPr>
            <w:tcW w:w="1700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วันที่</w:t>
            </w:r>
          </w:p>
        </w:tc>
        <w:tc>
          <w:tcPr>
            <w:tcW w:w="4875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รายละเอียด</w:t>
            </w:r>
          </w:p>
        </w:tc>
        <w:tc>
          <w:tcPr>
            <w:tcW w:w="1814" w:type="dxa"/>
            <w:shd w:val="clear" w:color="auto" w:fill="D9E2F3"/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PSK" w:hAnsi="TH SarabunPSK" w:eastAsia="TH SarabunPSK" w:cs="TH SarabunPSK"/>
                <w:b/>
                <w:bCs/>
                <w:sz w:val="28"/>
                <w:szCs w:val="28"/>
                <w:cs/>
                <w:lang w:val="th-TH" w:eastAsia="th-TH" w:bidi="th-TH"/>
              </w:rPr>
              <w:t>ผู้แก้ไข</w:t>
            </w:r>
          </w:p>
        </w:tc>
      </w:tr>
      <w:tr>
        <w:tc>
          <w:tcPr>
            <w:tcW w:w="1247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0.9 (ร่าง)</w:t>
            </w:r>
          </w:p>
        </w:tc>
        <w:tc>
          <w:tcPr>
            <w:tcW w:w="1700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3 ต.ค. 2569</w:t>
            </w:r>
          </w:p>
        </w:tc>
        <w:tc>
          <w:tcPr>
            <w:tcW w:w="4875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จัดทำใหม่เพื่อปิดช่องว่างมาตรฐาน AACI ข้อ 19.3</w:t>
            </w:r>
          </w:p>
        </w:tc>
        <w:tc>
          <w:tcPr>
            <w:tcW w:w="1814" w:type="dxa"/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PSK" w:hAnsi="TH SarabunPSK" w:eastAsia="TH SarabunPSK" w:cs="TH SarabunPSK"/>
                <w:sz w:val="28"/>
                <w:szCs w:val="28"/>
                <w:cs/>
                <w:lang w:val="th-TH" w:eastAsia="th-TH" w:bidi="th-TH"/>
              </w:rPr>
              <w:t>PCT จิตเวช</w:t>
            </w:r>
          </w:p>
        </w:tc>
      </w:tr>
    </w:tbl>
    <w:p>
      <w:pPr>
        <w:spacing w:before="0" w:after="0" w:line="100" w:lineRule="exact"/>
        <w:jc w:val="left"/>
      </w:pPr>
      <w:r>
        <w:rPr>
          <w:rFonts w:ascii="TH SarabunPSK" w:hAnsi="TH SarabunPSK" w:eastAsia="TH SarabunPSK" w:cs="TH SarabunPSK"/>
          <w:sz w:val="5"/>
          <w:szCs w:val="5"/>
          <w:cs/>
          <w:lang w:val="th-TH" w:eastAsia="th-TH" w:bidi="th-TH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51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PNP-PCT-PSY-003 · หน้า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PAGE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  <w:r>
      <w:rPr>
        <w:rFonts w:ascii="TH SarabunPSK" w:hAnsi="TH SarabunPSK" w:eastAsia="TH SarabunPSK" w:cs="TH SarabunPSK"/>
        <w:color w:val="595959"/>
        <w:sz w:val="26"/>
        <w:szCs w:val="26"/>
        <w:cs/>
        <w:lang w:val="th-TH" w:eastAsia="th-TH" w:bidi="th-TH"/>
      </w:rPr>
      <w:t xml:space="preserve"> / 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begin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instrText xml:space="preserve"> NUMPAGES </w:instrTex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separate"/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t>1</w:t>
    </w:r>
    <w:r>
      <w:rPr>
        <w:rFonts w:ascii="TH SarabunPSK" w:hAnsi="TH SarabunPSK" w:eastAsia="TH SarabunPSK" w:cs="TH SarabunPSK"/>
        <w:sz w:val="26"/>
        <w:szCs w:val="26"/>
        <w:cs/>
        <w:lang w:val="th-TH" w:eastAsia="th-TH" w:bidi="th-TH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5397"/>
      <w:gridCol w:w="4240"/>
    </w:tblGrid>
    <w:tr>
      <w:tc>
        <w:tcPr>
          <w:tcW w:w="5397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TH SarabunPSK" w:hAnsi="TH SarabunPSK" w:eastAsia="TH SarabunPSK" w:cs="TH SarabunPSK"/>
              <w:color w:val="595959"/>
              <w:sz w:val="26"/>
              <w:szCs w:val="26"/>
              <w:cs/>
              <w:lang w:val="th-TH" w:eastAsia="th-TH" w:bidi="th-TH"/>
            </w:rPr>
            <w:t>โรงพยาบาลร้อยเอ็ด · กลุ่มงานจิตเวชและยาเสพติด · PCT จิตเวช</w:t>
          </w:r>
        </w:p>
      </w:tc>
      <w:tc>
        <w:tcPr>
          <w:tcW w:w="4240" w:type="dxa"/>
          <w:tcBorders>
            <w:bottom w:val="single" w:sz="6" w:space="0" w:color="808080"/>
          </w:tcBorders>
        </w:tcPr>
        <w:p>
          <w:pPr>
            <w:spacing w:before="0" w:after="0" w:line="240" w:lineRule="auto"/>
            <w:jc w:val="right"/>
          </w:pPr>
          <w:r>
            <w:rPr>
              <w:rFonts w:ascii="TH SarabunPSK" w:hAnsi="TH SarabunPSK" w:eastAsia="TH SarabunPSK" w:cs="TH SarabunPSK"/>
              <w:b/>
              <w:bCs/>
              <w:color w:val="595959"/>
              <w:sz w:val="26"/>
              <w:szCs w:val="26"/>
              <w:cs/>
              <w:lang w:val="th-TH" w:eastAsia="th-TH" w:bidi="th-TH"/>
            </w:rPr>
            <w:t>รหัสเอกสาร: PNP-PCT-PSY-003 (ร่าง)</w:t>
          </w:r>
        </w:p>
      </w:tc>
    </w:tr>
  </w:tbl>
  <w:p>
    <w:pPr>
      <w:pStyle w:val="Header"/>
      <w:spacing w:before="0" w:after="0" w:line="40" w:lineRule="exact"/>
      <w:jc w:val="left"/>
    </w:pPr>
    <w:r>
      <w:rPr>
        <w:rFonts w:ascii="TH SarabunPSK" w:hAnsi="TH SarabunPSK" w:eastAsia="TH SarabunPSK" w:cs="TH SarabunPSK"/>
        <w:sz w:val="4"/>
        <w:szCs w:val="4"/>
        <w:cs/>
        <w:lang w:val="th-TH" w:eastAsia="th-TH" w:bidi="th-TH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hAnsi="TH SarabunPSK" w:eastAsia="TH SarabunPSK" w:cs="TH SarabunPSK"/>
        <w:sz w:val="32"/>
        <w:szCs w:val="32"/>
        <w:lang w:val="th-TH" w:eastAsia="th-TH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PSK" w:hAnsi="TH SarabunPSK" w:eastAsia="TH SarabunPSK" w:cs="TH SarabunPSK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H SarabunPSK" w:hAnsi="TH SarabunPSK" w:eastAsia="TH SarabunPSK" w:cs="TH SarabunPSK"/>
      <w:sz w:val="32"/>
      <w:szCs w:val="3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rFonts w:ascii="TH SarabunPSK" w:hAnsi="TH SarabunPSK" w:eastAsia="TH SarabunPSK" w:cs="TH SarabunPSK"/>
      <w:sz w:val="32"/>
      <w:szCs w:val="32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