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PSK" w:hAnsi="TH SarabunPSK" w:eastAsia="TH SarabunPSK" w:cs="TH SarabunPSK"/>
          <w:b/>
          <w:bCs/>
          <w:sz w:val="38"/>
          <w:szCs w:val="38"/>
          <w:cs/>
          <w:lang w:val="th-TH" w:eastAsia="th-TH" w:bidi="th-TH"/>
        </w:rPr>
        <w:t>แบบตรวจสอบความครบถ้วนเวชระเบียนผู้ป่วยในจิตเวช</w:t>
      </w:r>
    </w:p>
    <w:p>
      <w:pPr>
        <w:spacing w:before="0" w:after="0" w:line="240" w:lineRule="auto"/>
        <w:jc w:val="center"/>
      </w:pPr>
      <w:r>
        <w:rPr>
          <w:rFonts w:ascii="TH SarabunPSK" w:hAnsi="TH SarabunPSK" w:eastAsia="TH SarabunPSK" w:cs="TH SarabunPSK"/>
          <w:sz w:val="30"/>
          <w:szCs w:val="30"/>
          <w:cs/>
          <w:lang w:val="th-TH" w:eastAsia="th-TH" w:bidi="th-TH"/>
        </w:rPr>
        <w:t>กลุ่มงานจิตเวชและยาเสพติด โรงพยาบาลร้อยเอ็ด · เอกสารแนบ PNP-PCT-PSY-002 · ตอบมาตรฐาน AACI ข้อ 19.1.1–19.1.9</w:t>
      </w:r>
    </w:p>
    <w:p>
      <w:pPr>
        <w:spacing w:before="0" w:after="0" w:line="240" w:lineRule="auto"/>
        <w:jc w:val="center"/>
      </w:pPr>
      <w:r>
        <w:rPr>
          <w:rFonts w:ascii="TH SarabunPSK" w:hAnsi="TH SarabunPSK" w:eastAsia="TH SarabunPSK" w:cs="TH SarabunPSK"/>
          <w:sz w:val="30"/>
          <w:szCs w:val="30"/>
          <w:cs/>
          <w:lang w:val="th-TH" w:eastAsia="th-TH" w:bidi="th-TH"/>
        </w:rPr>
        <w:t>ใช้สุ่มตรวจรายเดือน และใช้ตรวจเวชระเบียนตัวอย่างก่อนการเยี่ยมสำรวจ · สถานะแบบฟอร์ม: ร่าง รอ PCT จิตเวชเห็นชอบ</w:t>
      </w:r>
    </w:p>
    <w:p>
      <w:pPr>
        <w:spacing w:before="0" w:after="0" w:line="60" w:lineRule="exact"/>
        <w:jc w:val="left"/>
      </w:pPr>
      <w:r>
        <w:rPr>
          <w:rFonts w:ascii="TH SarabunPSK" w:hAnsi="TH SarabunPSK" w:eastAsia="TH SarabunPSK" w:cs="TH SarabunPSK"/>
          <w:sz w:val="4"/>
          <w:szCs w:val="4"/>
          <w:cs/>
          <w:lang w:val="th-TH" w:eastAsia="th-TH" w:bidi="th-TH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4190"/>
        <w:gridCol w:w="1796"/>
        <w:gridCol w:w="1796"/>
        <w:gridCol w:w="2195"/>
      </w:tblGrid>
      <w:tr>
        <w:tc>
          <w:tcPr>
            <w:tcW w:w="419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ลำดับเวชระเบียนที่ตรวจ (ใช้เลขลำดับภายใน ไม่ใส่ชื่อหรือเลขประจำตัวผู้ป่วย) ................</w:t>
            </w:r>
          </w:p>
        </w:tc>
        <w:tc>
          <w:tcPr>
            <w:tcW w:w="179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หอผู้ป่วย ................</w:t>
            </w:r>
          </w:p>
        </w:tc>
        <w:tc>
          <w:tcPr>
            <w:tcW w:w="179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วันที่ตรวจ ..../..../....</w:t>
            </w:r>
          </w:p>
        </w:tc>
        <w:tc>
          <w:tcPr>
            <w:tcW w:w="219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ผู้ตรวจ ......................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28"/>
          <w:szCs w:val="28"/>
          <w:cs/>
          <w:lang w:val="th-TH" w:eastAsia="th-TH" w:bidi="th-TH"/>
        </w:rPr>
        <w:t>สถานะเวชระเบียน: ☐ กำลังรักษา   ☐ จำหน่ายแล้ว      ระยะเวลานอนถึงวันตรวจ/วันจำหน่าย ........ วัน      กลุ่มโรคหลัก ..............................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26"/>
          <w:szCs w:val="26"/>
          <w:cs/>
          <w:lang w:val="th-TH" w:eastAsia="th-TH" w:bidi="th-TH"/>
        </w:rPr>
        <w:t>วิธีกรอก: "ไม่เกี่ยวข้อง" ใช้เมื่อข้อนั้นไม่ใช้กับผู้ป่วยรายนี้ เช่น ไม่ได้รับไว้ในหอผู้ป่วยปิด หรือไม่มีข้อบ่งชี้ตรวจระบบประสาท · "ยังไม่ถึงกำหนด" ใช้เมื่อยังอยู่ในกรอบเวลา เช่น รับไว้ยังไม่ครบ 96 ชั่วโมง หรือยังไม่จำหน่าย · ข้อที่มีเครื่องหมาย ★ เป็นข้อบังคับสำคัญ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510"/>
        <w:gridCol w:w="4705"/>
        <w:gridCol w:w="566"/>
        <w:gridCol w:w="566"/>
        <w:gridCol w:w="907"/>
        <w:gridCol w:w="1020"/>
        <w:gridCol w:w="1700"/>
      </w:tblGrid>
      <w:tr>
        <w:trPr>
          <w:tblHeader/>
          <w:cantSplit/>
        </w:trPr>
        <w:tc>
          <w:tcPr>
            <w:tcW w:w="51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ที่</w:t>
            </w:r>
          </w:p>
        </w:tc>
        <w:tc>
          <w:tcPr>
            <w:tcW w:w="4705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รายการตรวจสอบ</w:t>
            </w:r>
          </w:p>
        </w:tc>
        <w:tc>
          <w:tcPr>
            <w:tcW w:w="566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มี</w:t>
            </w:r>
          </w:p>
        </w:tc>
        <w:tc>
          <w:tcPr>
            <w:tcW w:w="566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ไม่มี</w:t>
            </w:r>
          </w:p>
        </w:tc>
        <w:tc>
          <w:tcPr>
            <w:tcW w:w="90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ไม่เกี่ยวข้อง</w:t>
            </w:r>
          </w:p>
        </w:tc>
        <w:tc>
          <w:tcPr>
            <w:tcW w:w="102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ยังไม่ถึงกำหนด</w:t>
            </w:r>
          </w:p>
        </w:tc>
        <w:tc>
          <w:tcPr>
            <w:tcW w:w="170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หมายเหตุ</w:t>
            </w:r>
          </w:p>
        </w:tc>
      </w:tr>
      <w:tr>
        <w:tc>
          <w:tcPr>
            <w:tcW w:w="510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4705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19.1.2 องค์ประกอบเวชระเบียน</w:t>
            </w:r>
          </w:p>
        </w:tc>
        <w:tc>
          <w:tcPr>
            <w:tcW w:w="566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566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7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020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700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1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ระบุสถานะทางกฎหมายของผู้ป่วย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2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มีการวินิจฉัยเบื้องต้นหรือการวินิจฉัยรับไว้ ปรากฏในเวชระเบียนตั้งแต่ขณะรับไว้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3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★ มีบันทึกโรคร่วมและโรคแทรก หรือบันทึกว่าประเมินแล้วไม่พบ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4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โรคร่วมที่พบมีแผนการดูแลและการติดตาม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5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มีเหตุผลในการรับไว้ และระบุที่มาของข้อมูล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6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มีข้อมูลจิตสังคม / บันทึกบริการสังคม (เมื่อมีการส่งปรึกษา)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7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มีผลตรวจระบบประสาทอย่างสมบูรณ์ (เมื่อมีข้อบ่งชี้)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4705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19.1.3 การประเมินทางจิตเวชแรกรับ</w:t>
            </w:r>
          </w:p>
        </w:tc>
        <w:tc>
          <w:tcPr>
            <w:tcW w:w="566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566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7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020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700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8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★ ประเมินเสร็จภายใน 96 ชั่วโมง (เห็นวันเวลารับไว้และวันเวลาประเมินเสร็จ)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9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มีประวัติทางการแพทย์เท่าที่มีข้อมูล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10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มีบันทึกการตรวจสภาพจิต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11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มีรายละเอียดการเริ่มป่วยและเหตุการณ์ที่นำมาสู่การรับไว้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12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มีคำบรรยายพฤติกรรมและทัศนคติ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13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มีการประเมินสติปัญญา ความจำ และการรับรู้วัน เวลา สถานที่ บุคคล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14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มีบัญชีทรัพย์สิน (เมื่อรับไว้ในหอผู้ป่วยปิด)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4705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19.1.4 แผนการรักษาเฉพาะราย</w:t>
            </w:r>
          </w:p>
        </w:tc>
        <w:tc>
          <w:tcPr>
            <w:tcW w:w="566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566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7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020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700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15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★ แผนเสร็จภายใน 96 ชั่วโมง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16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มีการวินิจฉัยขณะรักษา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17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มีเป้าหมายระยะสั้นและระยะยาวที่วัดได้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18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ระบุวิธีการรักษาหรือรูปแบบการบำบัด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19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ระบุสมาชิกทีมสหวิชาชีพและความรับผิดชอบ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20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มีหลักฐานสนับสนุนการวินิจฉัยและการรักษา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4705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19.1.5–19.1.8 การบันทึกการรักษาและความก้าวหน้า</w:t>
            </w:r>
          </w:p>
        </w:tc>
        <w:tc>
          <w:tcPr>
            <w:tcW w:w="566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566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7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020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700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21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การรักษาที่ผู้ป่วยได้รับถูกบันทึกครบ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22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บันทึกความก้าวหน้าจัดทำโดยแพทย์ พยาบาล หรือผู้ร่วมดูแล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23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ความถี่ไม่น้อยกว่าขั้นต่ำ: สัปดาห์ละครั้งใน 2 เดือนแรก และเดือนละครั้งหลังจากนั้น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24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มีบันทึกเพิ่มตามสภาพผู้ป่วย: เมื่ออาการเปลี่ยน ปรับยา เกิดเหตุการณ์ไม่พึงประสงค์ หรือมีการผูกยึด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25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บันทึกประเมินความก้าวหน้าเทียบกับแผน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26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บันทึกมีข้อเสนอคงหรือปรับแผนการรักษา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4705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19.1.9 สรุปการจำหน่าย (เฉพาะฉบับที่จำหน่ายแล้ว)</w:t>
            </w:r>
          </w:p>
        </w:tc>
        <w:tc>
          <w:tcPr>
            <w:tcW w:w="566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566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907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020" w:type="dxa"/>
            <w:shd w:val="clear" w:color="auto" w:fill="E7E6E6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w="1700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27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มีสรุปภาพรวมของการรักษาระหว่างนอนโรงพยาบาล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28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มีข้อแนะนำการติดตามผลหรือการดูแลต่อเนื่อง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c>
          <w:tcPr>
            <w:tcW w:w="51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29</w:t>
            </w:r>
          </w:p>
        </w:tc>
        <w:tc>
          <w:tcPr>
            <w:tcW w:w="470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มีสรุปสภาพผู้ป่วยขณะจำหน่าย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56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020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28"/>
          <w:szCs w:val="28"/>
          <w:cs/>
          <w:lang w:val="th-TH" w:eastAsia="th-TH" w:bidi="th-TH"/>
        </w:rPr>
        <w:t>รายการทั้งหมด 29 ข้อ   คะแนน = จำนวนข้อที่ "มี" ........ / จำนวนข้อที่ประเมินได้ ........ (ไม่นับข้อที่ไม่เกี่ยวข้องและข้อที่ยังไม่ถึงกำหนด) = ร้อยละ ........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28"/>
          <w:szCs w:val="28"/>
          <w:cs/>
          <w:lang w:val="th-TH" w:eastAsia="th-TH" w:bidi="th-TH"/>
        </w:rPr>
        <w:t>ข้อบังคับสำคัญ (★) ที่ได้ "ไม่มี": ☐ ไม่มี   ☐ มี ระบุข้อ ................ — ถ้ามีแม้ข้อเดียว ให้ถือว่าเวชระเบียนฉบับนั้นต้องแก้ไข ไม่ว่าคะแนนรวมจะเท่าใด (การเลือกข้อ ★ เป็นข้อเสนอ รอ PCT พิจารณาเห็นชอบ)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28"/>
          <w:szCs w:val="28"/>
          <w:cs/>
          <w:lang w:val="th-TH" w:eastAsia="th-TH" w:bidi="th-TH"/>
        </w:rPr>
        <w:t>ประเด็นที่ต้องแจ้งผู้บันทึก ..................................................................................................................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28"/>
          <w:szCs w:val="28"/>
          <w:cs/>
          <w:lang w:val="th-TH" w:eastAsia="th-TH" w:bidi="th-TH"/>
        </w:rPr>
        <w:t>วันที่แจ้งผล ..../..../....      ผู้รับทราบ ..............................</w:t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ตารางคัดเลือกเวชระเบียนตัวอย่างสำหรับการเยี่ยมสำรวจ (อย่างน้อย 4 ฉบับ)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26"/>
          <w:szCs w:val="26"/>
          <w:cs/>
          <w:lang w:val="th-TH" w:eastAsia="th-TH" w:bidi="th-TH"/>
        </w:rPr>
        <w:t>เกณฑ์คัดเลือก: (1) มีโรคร่วมและเห็นการบันทึกกับการรักษาโรคร่วมชัดเจน (2) แผนการรักษาเสร็จภายใน 96 ชั่วโมง (3) ต่างกลุ่มโรคกัน (4) คะแนนตามแบบนี้ร้อยละ 90 ขึ้นไป และไม่มีข้อ ★ ที่ได้ "ไม่มี" — ใช้เลขลำดับภายใน ผู้ถือกุญแจจับคู่เลขลำดับกับผู้ป่วยคือหัวหน้าหอผู้ป่วย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1247"/>
        <w:gridCol w:w="2040"/>
        <w:gridCol w:w="2381"/>
        <w:gridCol w:w="1644"/>
        <w:gridCol w:w="1303"/>
        <w:gridCol w:w="1360"/>
      </w:tblGrid>
      <w:tr>
        <w:trPr>
          <w:tblHeader/>
          <w:cantSplit/>
        </w:trPr>
        <w:tc>
          <w:tcPr>
            <w:tcW w:w="124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ลำดับภายใน</w:t>
            </w:r>
          </w:p>
        </w:tc>
        <w:tc>
          <w:tcPr>
            <w:tcW w:w="204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กลุ่มโรคหลัก</w:t>
            </w:r>
          </w:p>
        </w:tc>
        <w:tc>
          <w:tcPr>
            <w:tcW w:w="2381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โรคร่วมที่บันทึก</w:t>
            </w:r>
          </w:p>
        </w:tc>
        <w:tc>
          <w:tcPr>
            <w:tcW w:w="164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แผนเสร็จใน 96 ชม.</w:t>
            </w:r>
          </w:p>
        </w:tc>
        <w:tc>
          <w:tcPr>
            <w:tcW w:w="1303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คะแนน (ร้อยละ)</w:t>
            </w:r>
          </w:p>
        </w:tc>
        <w:tc>
          <w:tcPr>
            <w:tcW w:w="136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ผู้ตรวจ / วันที่</w:t>
            </w:r>
          </w:p>
        </w:tc>
      </w:tr>
      <w:tr>
        <w:trPr>
          <w:trHeight w:val="454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040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644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ใช่  ☐ ไม่ใช่</w:t>
            </w:r>
          </w:p>
        </w:tc>
        <w:tc>
          <w:tcPr>
            <w:tcW w:w="130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36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454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040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644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ใช่  ☐ ไม่ใช่</w:t>
            </w:r>
          </w:p>
        </w:tc>
        <w:tc>
          <w:tcPr>
            <w:tcW w:w="130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36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454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040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644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ใช่  ☐ ไม่ใช่</w:t>
            </w:r>
          </w:p>
        </w:tc>
        <w:tc>
          <w:tcPr>
            <w:tcW w:w="130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36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454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040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644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ใช่  ☐ ไม่ใช่</w:t>
            </w:r>
          </w:p>
        </w:tc>
        <w:tc>
          <w:tcPr>
            <w:tcW w:w="130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360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454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040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644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ใช่  ☐ ไม่ใช่</w:t>
            </w:r>
          </w:p>
        </w:tc>
        <w:tc>
          <w:tcPr>
            <w:tcW w:w="130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360" w:type="dxa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964" w:bottom="1020" w:left="964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TH SarabunPSK" w:hAnsi="TH SarabunPSK" w:eastAsia="TH SarabunPSK" w:cs="TH SarabunPSK"/>
        <w:color w:val="595959"/>
        <w:sz w:val="26"/>
        <w:szCs w:val="26"/>
        <w:cs/>
        <w:lang w:val="th-TH" w:eastAsia="th-TH" w:bidi="th-TH"/>
      </w:rPr>
      <w:t xml:space="preserve">FM-PCT-PSY-007 · หน้า 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begin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instrText xml:space="preserve"> PAGE </w:instrTex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separate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t>1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end"/>
    </w:r>
    <w:r>
      <w:rPr>
        <w:rFonts w:ascii="TH SarabunPSK" w:hAnsi="TH SarabunPSK" w:eastAsia="TH SarabunPSK" w:cs="TH SarabunPSK"/>
        <w:color w:val="595959"/>
        <w:sz w:val="26"/>
        <w:szCs w:val="26"/>
        <w:cs/>
        <w:lang w:val="th-TH" w:eastAsia="th-TH" w:bidi="th-TH"/>
      </w:rPr>
      <w:t xml:space="preserve"> / 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begin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instrText xml:space="preserve"> NUMPAGES </w:instrTex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separate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t>1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5587"/>
      <w:gridCol w:w="4390"/>
    </w:tblGrid>
    <w:tr>
      <w:tc>
        <w:tcPr>
          <w:tcW w:w="5587" w:type="dxa"/>
          <w:tcBorders>
            <w:bottom w:val="single" w:sz="6" w:space="0" w:color="808080"/>
          </w:tcBorders>
        </w:tcPr>
        <w:p>
          <w:pPr>
            <w:spacing w:before="0" w:after="0" w:line="240" w:lineRule="auto"/>
            <w:jc w:val="left"/>
          </w:pPr>
          <w:r>
            <w:rPr>
              <w:rFonts w:ascii="TH SarabunPSK" w:hAnsi="TH SarabunPSK" w:eastAsia="TH SarabunPSK" w:cs="TH SarabunPSK"/>
              <w:color w:val="595959"/>
              <w:sz w:val="26"/>
              <w:szCs w:val="26"/>
              <w:cs/>
              <w:lang w:val="th-TH" w:eastAsia="th-TH" w:bidi="th-TH"/>
            </w:rPr>
            <w:t>โรงพยาบาลร้อยเอ็ด · กลุ่มงานจิตเวชและยาเสพติด · PCT จิตเวช</w:t>
          </w:r>
        </w:p>
      </w:tc>
      <w:tc>
        <w:tcPr>
          <w:tcW w:w="4390" w:type="dxa"/>
          <w:tcBorders>
            <w:bottom w:val="single" w:sz="6" w:space="0" w:color="808080"/>
          </w:tcBorders>
        </w:tcPr>
        <w:p>
          <w:pPr>
            <w:spacing w:before="0" w:after="0" w:line="240" w:lineRule="auto"/>
            <w:jc w:val="right"/>
          </w:pPr>
          <w:r>
            <w:rPr>
              <w:rFonts w:ascii="TH SarabunPSK" w:hAnsi="TH SarabunPSK" w:eastAsia="TH SarabunPSK" w:cs="TH SarabunPSK"/>
              <w:b/>
              <w:bCs/>
              <w:color w:val="595959"/>
              <w:sz w:val="26"/>
              <w:szCs w:val="26"/>
              <w:cs/>
              <w:lang w:val="th-TH" w:eastAsia="th-TH" w:bidi="th-TH"/>
            </w:rPr>
            <w:t>รหัสเอกสาร: FM-PCT-PSY-007 (ร่าง)</w:t>
          </w:r>
        </w:p>
      </w:tc>
    </w:tr>
  </w:tbl>
  <w:p>
    <w:pPr>
      <w:pStyle w:val="Header"/>
      <w:spacing w:before="0" w:after="0" w:line="40" w:lineRule="exact"/>
      <w:jc w:val="left"/>
    </w:pPr>
    <w:r>
      <w:rPr>
        <w:rFonts w:ascii="TH SarabunPSK" w:hAnsi="TH SarabunPSK" w:eastAsia="TH SarabunPSK" w:cs="TH SarabunPSK"/>
        <w:sz w:val="4"/>
        <w:szCs w:val="4"/>
        <w:cs/>
        <w:lang w:val="th-TH" w:eastAsia="th-TH" w:bidi="th-TH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hAnsi="TH SarabunPSK" w:eastAsia="TH SarabunPSK" w:cs="TH SarabunPSK"/>
        <w:sz w:val="32"/>
        <w:szCs w:val="32"/>
        <w:lang w:val="th-TH" w:eastAsia="th-TH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PSK" w:hAnsi="TH SarabunPSK" w:eastAsia="TH SarabunPSK" w:cs="TH SarabunPSK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H SarabunPSK" w:hAnsi="TH SarabunPSK" w:eastAsia="TH SarabunPSK" w:cs="TH SarabunPSK"/>
      <w:sz w:val="32"/>
      <w:szCs w:val="3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rFonts w:ascii="TH SarabunPSK" w:hAnsi="TH SarabunPSK" w:eastAsia="TH SarabunPSK" w:cs="TH SarabunPSK"/>
      <w:sz w:val="32"/>
      <w:szCs w:val="32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