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8"/>
          <w:szCs w:val="38"/>
          <w:cs/>
          <w:lang w:val="th-TH" w:eastAsia="th-TH" w:bidi="th-TH"/>
        </w:rPr>
        <w:t>แบบรายงานวิเคราะห์ข้อมูลการผูกยึดและการใช้ห้องแยก รายไตรมาส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PCT จิตเวช โรงพยาบาลร้อยเอ็ด · ตอบมาตรฐาน AACI ข้อ 11.14 · ใช้ข้อมูลจากทะเบียนแบบ จ และแบบ ค ส่วนที่ 4 ของระเบียบปฏิบัติ REH-PM-NUR-001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สถานะแบบฟอร์ม: ร่าง รอ PCT จิตเวชเห็นชอบ · ห้ามใส่ชื่อหรือเลขประจำตัวผู้ป่วยในรายงานนี้</w:t>
      </w:r>
    </w:p>
    <w:p>
      <w:pPr>
        <w:spacing w:before="0" w:after="0" w:line="6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989"/>
        <w:gridCol w:w="2694"/>
        <w:gridCol w:w="2294"/>
      </w:tblGrid>
      <w:tr>
        <w:tc>
          <w:tcPr>
            <w:tcW w:w="498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หน่วยบริการ ☐ หอผู้ป่วยจิตเวช   ☐ มินิธัญญารักษ์สวนพะยอม   ☐ รวมทั้ง PCT</w:t>
            </w:r>
          </w:p>
        </w:tc>
        <w:tc>
          <w:tcPr>
            <w:tcW w:w="26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ไตรมาสที่ ...... ปีงบประมาณ ............</w:t>
            </w:r>
          </w:p>
        </w:tc>
        <w:tc>
          <w:tcPr>
            <w:tcW w:w="22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ผู้จัดทำ ........................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1 ข้อมูลสรุป (รายการตรงกับสรุปประจำเดือนในแบบ จ)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004"/>
        <w:gridCol w:w="822"/>
        <w:gridCol w:w="822"/>
        <w:gridCol w:w="822"/>
        <w:gridCol w:w="907"/>
        <w:gridCol w:w="907"/>
        <w:gridCol w:w="2692"/>
      </w:tblGrid>
      <w:tr>
        <w:trPr>
          <w:tblHeader/>
          <w:cantSplit/>
        </w:trPr>
        <w:tc>
          <w:tcPr>
            <w:tcW w:w="300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รายการ</w:t>
            </w:r>
          </w:p>
        </w:tc>
        <w:tc>
          <w:tcPr>
            <w:tcW w:w="82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เดือนที่ 1</w:t>
            </w:r>
          </w:p>
        </w:tc>
        <w:tc>
          <w:tcPr>
            <w:tcW w:w="82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เดือนที่ 2</w:t>
            </w:r>
          </w:p>
        </w:tc>
        <w:tc>
          <w:tcPr>
            <w:tcW w:w="82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เดือนที่ 3</w:t>
            </w:r>
          </w:p>
        </w:tc>
        <w:tc>
          <w:tcPr>
            <w:tcW w:w="9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ทั้งไตรมาส</w:t>
            </w:r>
          </w:p>
        </w:tc>
        <w:tc>
          <w:tcPr>
            <w:tcW w:w="9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ไตรมาสก่อน</w:t>
            </w:r>
          </w:p>
        </w:tc>
        <w:tc>
          <w:tcPr>
            <w:tcW w:w="269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แนวโน้ม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จำนวนวันนอนรวม (ตัวหาร)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จำนวนเหตุการณ์การผูกยึดทั้งหมด (ครั้ง)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จำนวนผู้ป่วยที่ถูกผูกยึด (ราย)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จำนวนการใช้ห้องแยก (ครั้ง)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อัตราการผูกยึดต่อ 1,000 วันนอน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ชั่วโมงผูกยึดรวม (ชั่วโมง)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ระยะเวลาเฉลี่ยต่อครั้ง (ชั่วโมง)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ร้อยละที่มีการประเมินแบบพบหน้าภายใน 1 ชั่วโมง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ร้อยละที่มีเอกสารครบถ้วน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ร้อยละที่มีการทบทวนเหตุการณ์กับผู้ป่วย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จำนวนการบาดเจ็บ (ผู้ป่วย / เจ้าหน้าที่)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จำนวนผู้ป่วยที่ถูกผูกยึดซ้ำภายใน 48 ชั่วโมง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  <w:tr>
        <w:tc>
          <w:tcPr>
            <w:tcW w:w="300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จำนวนกรณีที่เข้าเกณฑ์ทบทวนพิเศษ</w:t>
            </w: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22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ดีขึ้น ☐ คงเดิม ☐ แย่ลง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26"/>
          <w:szCs w:val="26"/>
          <w:cs/>
          <w:lang w:val="th-TH" w:eastAsia="th-TH" w:bidi="th-TH"/>
        </w:rPr>
        <w:t>การอ่านแนวโน้ม: อัตรา ชั่วโมง ระยะเวลา การบาดเจ็บ และการผูกยึดซ้ำ ยิ่งน้อยยิ่งดี ส่วนร้อยละการประเมินภายใน 1 ชั่วโมง เอกสารครบ และการทบทวนกับผู้ป่วย ยิ่งมากยิ่งดี ช่อง "ทั้งไตรมาส" คำนวณตามนิยามการนับด้านล่าง ไม่ใช้วิธีบวกหรือเฉลี่ยค่ารายเดือน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นิยามการนับ (ข้อเสนอ รอคณะทำงานกำกับการผูกยึดและ PCT จิตเวชพิจารณาเห็นชอบ)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267"/>
        <w:gridCol w:w="5329"/>
        <w:gridCol w:w="2381"/>
      </w:tblGrid>
      <w:tr>
        <w:trPr>
          <w:tblHeader/>
          <w:cantSplit/>
        </w:trPr>
        <w:tc>
          <w:tcPr>
            <w:tcW w:w="226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เรื่อง</w:t>
            </w:r>
          </w:p>
        </w:tc>
        <w:tc>
          <w:tcPr>
            <w:tcW w:w="5329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วิธีนับ / สูตรที่ใช้ในแบบนี้</w:t>
            </w:r>
          </w:p>
        </w:tc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แหล่งข้อมูล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เหตุการณ์การผูกยึด 1 ครั้ง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นับตั้งแต่เริ่มผูกยึดจนยุติ การคลายอุปกรณ์ตามรอบเพื่อบริหารข้อไม่นับเป็นการยุติ เหตุการณ์ที่ข้ามเดือนหรือข้ามไตรมาส นับ 1 ครั้งในงวดที่เหตุการณ์เริ่ม และนับชั่วโมงทั้งหมดไว้ในงวดเดียวกัน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แบบ ค ส่วนที่ 4 · ทะเบียนแบบ จ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จำนวนผู้ป่วย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นับผู้ป่วยไม่ซ้ำรายในงวดนั้น ค่าทั้งไตรมาสนับไม่ซ้ำรายทั้งไตรมาส ไม่ใช่ผลบวกของ 3 เดือน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ทะเบียนแบบ จ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อัตราการผูกยึดต่อ 1,000 วันนอน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จำนวนเหตุการณ์ หารด้วยวันนอนรวม คูณ 1,000 (แบบ จ ไม่ระบุสูตร — TBD ให้เจ้าของแบบ จ ยืนยันว่าตัวตั้งเป็นจำนวนเหตุการณ์หรือจำนวนชั่วโมง) ค่าทั้งไตรมาสใช้ผลรวมตัวตั้งหารด้วยผลรวมตัวหารของ 3 เดือน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ทะเบียนแบบ จ · สถิติวันนอนของหน่วยงาน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ระยะเวลาเฉลี่ยต่อครั้ง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ชั่วโมงผูกยึดรวม หารด้วยจำนวนเหตุการณ์ ของงวดเดียวกัน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แบบ ค ส่วนที่ 4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ร้อยละทุกรายการ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จำนวนเหตุการณ์ที่เข้าเงื่อนไข หารด้วยจำนวนเหตุการณ์ทั้งหมดของงวดเดียวกัน คูณ 100 ค่าทั้งไตรมาสใช้ผลรวมตัวตั้งหารด้วยผลรวมตัวหาร ไม่บวกหรือเฉลี่ยร้อยละรายเดือน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ทะเบียนแบบ จ · ผลตรวจตามแบบ ฉ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การประเมินแบบพบหน้าภายใน 1 ชั่วโมง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ระบุในหมายเหตุว่าผู้ประเมินเป็นแพทย์หรือพยาบาลวิชาชีพที่ได้รับมอบหมาย เพราะแบบ จ ไม่ได้แยก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แบบ ข · เวชระเบียน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ตัวหารเป็นศูนย์ หรือข้อมูลขาด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เว้นช่องและเขียนว่า ไม่มีข้อมูล ไม่ใส่เลข 0 และไม่คำนวณจากตัวหารที่ว่าง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–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การผูกยึดเป็นเวลานาน เงื่อนไข (1) และ (2)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ใช้ระยะเวลารวมของเหตุการณ์ และจำนวนครั้งที่ต่อคำสั่ง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แบบ ค ส่วนที่ 4 · คำสั่งแพทย์ในเวชระเบียน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การผูกยึดเป็นเวลานาน เงื่อนไข (3)</w:t>
            </w:r>
          </w:p>
        </w:tc>
        <w:tc>
          <w:tcPr>
            <w:tcW w:w="532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ใช้วันเวลาเริ่มของแต่ละเหตุการณ์ในผู้ป่วยรายเดียวกัน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ทะเบียนแบบ จ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2 การผูกยึดเป็นเวลานาน (นิยามตาม REH-PM-NUR-001 ข้อ 4)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907"/>
        <w:gridCol w:w="6803"/>
        <w:gridCol w:w="2267"/>
      </w:tblGrid>
      <w:tr>
        <w:trPr>
          <w:tblHeader/>
          <w:cantSplit/>
        </w:trPr>
        <w:tc>
          <w:tcPr>
            <w:tcW w:w="9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เงื่อนไข</w:t>
            </w:r>
          </w:p>
        </w:tc>
        <w:tc>
          <w:tcPr>
            <w:tcW w:w="680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นิยาม</w:t>
            </w:r>
          </w:p>
        </w:tc>
        <w:tc>
          <w:tcPr>
            <w:tcW w:w="226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จำนวนกรณีในไตรมาส</w:t>
            </w:r>
          </w:p>
        </w:tc>
      </w:tr>
      <w:tr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(1)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ผูกยึดต่อเนื่องนานเกิน 24 ชั่วโมง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(2)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ต่อคำสั่งแพทย์ติดต่อกันตั้งแต่ 3 ครั้งขึ้นไปในเหตุการณ์เดียวกัน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(3)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ผูกยึดซ้ำตั้งแต่ 2 ครั้งขึ้นไปในผู้ป่วยรายเดียวกันภายใน 24–48 ชั่วโมง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รวม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จำนวนกรณีที่เข้าเงื่อนไขอย่างน้อย 1 ข้อ (นับกรณีละ 1 ครั้ง)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28"/>
          <w:szCs w:val="28"/>
          <w:cs/>
          <w:lang w:val="th-TH" w:eastAsia="th-TH" w:bidi="th-TH"/>
        </w:rPr>
        <w:t>รายการกรณีที่เข้าเงื่อนไข (ใช้เลขลำดับภายในของทะเบียน)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133"/>
        <w:gridCol w:w="1133"/>
        <w:gridCol w:w="1247"/>
        <w:gridCol w:w="2154"/>
        <w:gridCol w:w="2154"/>
        <w:gridCol w:w="2154"/>
      </w:tblGrid>
      <w:tr>
        <w:trPr>
          <w:tblHeader/>
          <w:cantSplit/>
        </w:trPr>
        <w:tc>
          <w:tcPr>
            <w:tcW w:w="113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ลำดับภายใน</w:t>
            </w:r>
          </w:p>
        </w:tc>
        <w:tc>
          <w:tcPr>
            <w:tcW w:w="113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เข้าเงื่อนไขข้อ</w:t>
            </w:r>
          </w:p>
        </w:tc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ระยะเวลารวม (ชม.)</w:t>
            </w:r>
          </w:p>
        </w:tc>
        <w:tc>
          <w:tcPr>
            <w:tcW w:w="215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สาเหตุหลักของการผูกยึด</w:t>
            </w:r>
          </w:p>
        </w:tc>
        <w:tc>
          <w:tcPr>
            <w:tcW w:w="215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ทางเลือกที่ใช้แล้วก่อนผูกยึด</w:t>
            </w:r>
          </w:p>
        </w:tc>
        <w:tc>
          <w:tcPr>
            <w:tcW w:w="215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ผลการทบทวนรายกรณี</w:t>
            </w:r>
          </w:p>
        </w:tc>
      </w:tr>
      <w:tr>
        <w:trPr>
          <w:trHeight w:val="510"/>
        </w:trPr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10"/>
        </w:trPr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10"/>
        </w:trPr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10"/>
        </w:trPr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13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154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3 การวิเคราะห์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7596"/>
      </w:tblGrid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รูปแบบที่พบ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ช่วงเวลา/เวรที่เกิดบ่อย .................................. กลุ่มโรคหรือสาเหตุที่พบบ่อย 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ปัจจัยด้านระบบ (อัตรากำลัง สิ่งแวดล้อม การสื่อสาร ยา) ................................................................................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เทียบกับไตรมาสก่อนและเป้าหมาย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ข้อสรุปของทีม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4 ผลกระทบต่อทรัพยากร (มาตรฐานข้อ 11.14.2)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☐ ไม่กระทบ     ☐ กระทบ ระบุ ☐ อัตรากำลังเฝ้าระวังรายบุคคล   ☐ ห้องแยก/เตียง   ☐ วันนอนเพิ่มขึ้น   ☐ อื่น ๆ ..............................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กรณีกระทบ: ส่งข้อมูลให้คณะกรรมการทบทวนการใช้ทรัพยากรของโรงพยาบาล เมื่อวันที่ ..../..../....   ผู้รับ ..............................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5 มาตรการแก้ไขและการติดตามผล (มาตรฐานข้อ 11.14.3)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53"/>
        <w:gridCol w:w="2834"/>
        <w:gridCol w:w="1587"/>
        <w:gridCol w:w="1247"/>
        <w:gridCol w:w="2494"/>
        <w:gridCol w:w="1360"/>
      </w:tblGrid>
      <w:tr>
        <w:trPr>
          <w:tblHeader/>
          <w:cantSplit/>
        </w:trPr>
        <w:tc>
          <w:tcPr>
            <w:tcW w:w="45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ที่</w:t>
            </w:r>
          </w:p>
        </w:tc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มาตรการแก้ไข / ป้องกัน</w:t>
            </w:r>
          </w:p>
        </w:tc>
        <w:tc>
          <w:tcPr>
            <w:tcW w:w="158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ผู้รับผิดชอบ</w:t>
            </w:r>
          </w:p>
        </w:tc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กำหนดเสร็จ</w:t>
            </w:r>
          </w:p>
        </w:tc>
        <w:tc>
          <w:tcPr>
            <w:tcW w:w="249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ผลการติดตามว่ามาตรการได้ผลหรือไม่</w:t>
            </w:r>
          </w:p>
        </w:tc>
        <w:tc>
          <w:tcPr>
            <w:tcW w:w="136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สถานะ</w:t>
            </w:r>
          </w:p>
        </w:tc>
      </w:tr>
      <w:tr>
        <w:trPr>
          <w:trHeight w:val="539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58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เสร็จ ☐ ยังไม่เสร็จ</w:t>
            </w:r>
          </w:p>
        </w:tc>
      </w:tr>
      <w:tr>
        <w:trPr>
          <w:trHeight w:val="539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58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เสร็จ ☐ ยังไม่เสร็จ</w:t>
            </w:r>
          </w:p>
        </w:tc>
      </w:tr>
      <w:tr>
        <w:trPr>
          <w:trHeight w:val="539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3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58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เสร็จ ☐ ยังไม่เสร็จ</w:t>
            </w:r>
          </w:p>
        </w:tc>
      </w:tr>
      <w:tr>
        <w:trPr>
          <w:trHeight w:val="539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4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58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เสร็จ ☐ ยังไม่เสร็จ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26"/>
          <w:szCs w:val="26"/>
          <w:cs/>
          <w:lang w:val="th-TH" w:eastAsia="th-TH" w:bidi="th-TH"/>
        </w:rPr>
        <w:t>มาตรการจากไตรมาสก่อนที่ยังไม่ปิด ให้ยกมาติดตามต่อในตารางนี้จนกว่าจะปิดได้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6 การรายงาน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875"/>
        <w:gridCol w:w="1474"/>
        <w:gridCol w:w="3628"/>
      </w:tblGrid>
      <w:tr>
        <w:trPr>
          <w:tblHeader/>
          <w:cantSplit/>
        </w:trPr>
        <w:tc>
          <w:tcPr>
            <w:tcW w:w="487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เสนอต่อ</w:t>
            </w:r>
          </w:p>
        </w:tc>
        <w:tc>
          <w:tcPr>
            <w:tcW w:w="14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วันที่</w:t>
            </w:r>
          </w:p>
        </w:tc>
        <w:tc>
          <w:tcPr>
            <w:tcW w:w="3628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 / มติ</w:t>
            </w:r>
          </w:p>
        </w:tc>
      </w:tr>
      <w:tr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PCT จิตเวช (วาระประจำไตรมาส)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628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คณะทำงานกำกับการผูกยึดของโรงพยาบาล ตาม REH-PM-NUR-001 ข้อ 6.3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628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คณะกรรมการบริหารความเสี่ยง / คณะกรรมการพัฒนาคุณภาพ (ผ่านคณะทำงานกำกับการผูกยึด)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628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326"/>
        <w:gridCol w:w="3326"/>
        <w:gridCol w:w="3326"/>
      </w:tblGrid>
      <w:tr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...................................... ผู้จัดทำ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(หัวหน้าหอผู้ป่วย)   วันที่ ..../..../....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...................................... ผู้ทบทวน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(หัวหน้ากลุ่มงานการพยาบาลจิตเวช)   วันที่ ..../..../....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...................................... ผู้รับทราบ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(ประธาน PCT จิตเวช)   วันที่ ..../..../....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64" w:bottom="1020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FM-PCT-PSY-008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587"/>
      <w:gridCol w:w="4390"/>
    </w:tblGrid>
    <w:tr>
      <w:tc>
        <w:tcPr>
          <w:tcW w:w="558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39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FM-PCT-PSY-008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